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42" w:rsidRPr="00CD1FF6" w:rsidRDefault="00980702" w:rsidP="00CD1FF6">
      <w:pPr>
        <w:spacing w:after="0" w:line="360" w:lineRule="auto"/>
        <w:rPr>
          <w:rFonts w:ascii="Georgia" w:hAnsi="Georgia"/>
          <w:b/>
          <w:bCs/>
          <w:sz w:val="24"/>
          <w:szCs w:val="24"/>
        </w:rPr>
      </w:pPr>
      <w:r w:rsidRPr="00CD1FF6">
        <w:rPr>
          <w:rFonts w:ascii="Georgia" w:hAnsi="Georgia"/>
          <w:b/>
          <w:bCs/>
          <w:sz w:val="24"/>
          <w:szCs w:val="24"/>
        </w:rPr>
        <w:t>EUs energibyrå (ACER), utenlandskabler og beslutningene</w:t>
      </w:r>
    </w:p>
    <w:p w:rsidR="00980702" w:rsidRPr="00CD1FF6" w:rsidRDefault="00980702" w:rsidP="00CD1FF6">
      <w:pPr>
        <w:spacing w:after="0" w:line="360" w:lineRule="auto"/>
        <w:rPr>
          <w:rFonts w:ascii="Georgia" w:hAnsi="Georgia"/>
          <w:b/>
          <w:bCs/>
          <w:sz w:val="24"/>
          <w:szCs w:val="24"/>
        </w:rPr>
      </w:pPr>
      <w:r w:rsidRPr="00CD1FF6">
        <w:rPr>
          <w:rFonts w:ascii="Georgia" w:hAnsi="Georgia"/>
          <w:b/>
          <w:bCs/>
          <w:sz w:val="24"/>
          <w:szCs w:val="24"/>
        </w:rPr>
        <w:t>________________________________________________</w:t>
      </w:r>
    </w:p>
    <w:p w:rsidR="00FC0064" w:rsidRPr="00CD1FF6" w:rsidRDefault="00FC0064" w:rsidP="00CD1FF6">
      <w:pPr>
        <w:spacing w:after="0" w:line="360" w:lineRule="auto"/>
        <w:rPr>
          <w:rFonts w:ascii="Georgia" w:hAnsi="Georgia"/>
          <w:bCs/>
          <w:sz w:val="24"/>
          <w:szCs w:val="24"/>
        </w:rPr>
      </w:pPr>
    </w:p>
    <w:p w:rsidR="00FC0064" w:rsidRPr="00CD1FF6" w:rsidRDefault="00FC0064" w:rsidP="00CD1FF6">
      <w:pPr>
        <w:spacing w:after="0" w:line="360" w:lineRule="auto"/>
        <w:jc w:val="center"/>
        <w:rPr>
          <w:rFonts w:ascii="Georgia" w:hAnsi="Georgia"/>
          <w:b/>
          <w:bCs/>
          <w:sz w:val="24"/>
          <w:szCs w:val="24"/>
        </w:rPr>
      </w:pPr>
      <w:r w:rsidRPr="00CD1FF6">
        <w:rPr>
          <w:rFonts w:ascii="Georgia" w:hAnsi="Georgia"/>
          <w:b/>
          <w:bCs/>
          <w:sz w:val="24"/>
          <w:szCs w:val="24"/>
        </w:rPr>
        <w:t>I.</w:t>
      </w:r>
    </w:p>
    <w:p w:rsidR="00980702" w:rsidRPr="00CD1FF6" w:rsidRDefault="0052404B" w:rsidP="00CD1FF6">
      <w:pPr>
        <w:spacing w:after="0" w:line="360" w:lineRule="auto"/>
        <w:rPr>
          <w:rFonts w:ascii="Georgia" w:hAnsi="Georgia"/>
          <w:bCs/>
          <w:sz w:val="24"/>
          <w:szCs w:val="24"/>
        </w:rPr>
      </w:pPr>
      <w:r>
        <w:rPr>
          <w:rFonts w:ascii="Georgia" w:hAnsi="Georgia"/>
          <w:bCs/>
          <w:sz w:val="24"/>
          <w:szCs w:val="24"/>
        </w:rPr>
        <w:t xml:space="preserve">Forskjellen mellom </w:t>
      </w:r>
      <w:r w:rsidR="00980702" w:rsidRPr="00CD1FF6">
        <w:rPr>
          <w:rFonts w:ascii="Georgia" w:hAnsi="Georgia"/>
          <w:bCs/>
          <w:sz w:val="24"/>
          <w:szCs w:val="24"/>
        </w:rPr>
        <w:t xml:space="preserve">den 3dje Energipakke (Pakke III) </w:t>
      </w:r>
      <w:r w:rsidR="002E2608" w:rsidRPr="00CD1FF6">
        <w:rPr>
          <w:rFonts w:ascii="Georgia" w:hAnsi="Georgia"/>
          <w:bCs/>
          <w:sz w:val="24"/>
          <w:szCs w:val="24"/>
        </w:rPr>
        <w:t>og d</w:t>
      </w:r>
      <w:r>
        <w:rPr>
          <w:rFonts w:ascii="Georgia" w:hAnsi="Georgia"/>
          <w:bCs/>
          <w:sz w:val="24"/>
          <w:szCs w:val="24"/>
        </w:rPr>
        <w:t>e</w:t>
      </w:r>
      <w:r w:rsidR="002E2608" w:rsidRPr="00CD1FF6">
        <w:rPr>
          <w:rFonts w:ascii="Georgia" w:hAnsi="Georgia"/>
          <w:bCs/>
          <w:sz w:val="24"/>
          <w:szCs w:val="24"/>
        </w:rPr>
        <w:t xml:space="preserve"> bestemmelse</w:t>
      </w:r>
      <w:r>
        <w:rPr>
          <w:rFonts w:ascii="Georgia" w:hAnsi="Georgia"/>
          <w:bCs/>
          <w:sz w:val="24"/>
          <w:szCs w:val="24"/>
        </w:rPr>
        <w:t>r</w:t>
      </w:r>
      <w:r w:rsidR="002E2608" w:rsidRPr="00CD1FF6">
        <w:rPr>
          <w:rFonts w:ascii="Georgia" w:hAnsi="Georgia"/>
          <w:bCs/>
          <w:sz w:val="24"/>
          <w:szCs w:val="24"/>
        </w:rPr>
        <w:t xml:space="preserve"> som </w:t>
      </w:r>
      <w:r w:rsidR="003F0A1F">
        <w:rPr>
          <w:rFonts w:ascii="Georgia" w:hAnsi="Georgia"/>
          <w:bCs/>
          <w:sz w:val="24"/>
          <w:szCs w:val="24"/>
        </w:rPr>
        <w:t xml:space="preserve">den </w:t>
      </w:r>
      <w:r w:rsidR="002E2608" w:rsidRPr="00CD1FF6">
        <w:rPr>
          <w:rFonts w:ascii="Georgia" w:hAnsi="Georgia"/>
          <w:bCs/>
          <w:sz w:val="24"/>
          <w:szCs w:val="24"/>
        </w:rPr>
        <w:t xml:space="preserve">skal erstatte </w:t>
      </w:r>
      <w:r w:rsidR="003F0A1F">
        <w:rPr>
          <w:rFonts w:ascii="Georgia" w:hAnsi="Georgia"/>
          <w:bCs/>
          <w:sz w:val="24"/>
          <w:szCs w:val="24"/>
        </w:rPr>
        <w:t>(</w:t>
      </w:r>
      <w:r w:rsidR="00420C17" w:rsidRPr="00CD1FF6">
        <w:rPr>
          <w:rFonts w:ascii="Georgia" w:hAnsi="Georgia"/>
          <w:bCs/>
          <w:sz w:val="24"/>
          <w:szCs w:val="24"/>
        </w:rPr>
        <w:t>1992-ordningen</w:t>
      </w:r>
      <w:r w:rsidR="003F0A1F">
        <w:rPr>
          <w:rFonts w:ascii="Georgia" w:hAnsi="Georgia"/>
          <w:bCs/>
          <w:sz w:val="24"/>
          <w:szCs w:val="24"/>
        </w:rPr>
        <w:t>)</w:t>
      </w:r>
      <w:r>
        <w:rPr>
          <w:rFonts w:ascii="Georgia" w:hAnsi="Georgia"/>
          <w:bCs/>
          <w:sz w:val="24"/>
          <w:szCs w:val="24"/>
        </w:rPr>
        <w:t xml:space="preserve"> </w:t>
      </w:r>
      <w:r w:rsidRPr="00CD1FF6">
        <w:rPr>
          <w:rFonts w:ascii="Georgia" w:hAnsi="Georgia"/>
          <w:bCs/>
          <w:sz w:val="24"/>
          <w:szCs w:val="24"/>
        </w:rPr>
        <w:t xml:space="preserve">kommer enklest frem ved å sammenligne EU-kompetansen og styringsretten etter </w:t>
      </w:r>
      <w:r>
        <w:rPr>
          <w:rFonts w:ascii="Georgia" w:hAnsi="Georgia"/>
          <w:bCs/>
          <w:sz w:val="24"/>
          <w:szCs w:val="24"/>
        </w:rPr>
        <w:t xml:space="preserve">Pakke III og </w:t>
      </w:r>
      <w:r w:rsidRPr="00CD1FF6">
        <w:rPr>
          <w:rFonts w:ascii="Georgia" w:hAnsi="Georgia"/>
          <w:bCs/>
          <w:sz w:val="24"/>
          <w:szCs w:val="24"/>
        </w:rPr>
        <w:t xml:space="preserve">EØS-avtalen Vedlegg IV pr. 2.mai 1992 </w:t>
      </w:r>
      <w:r>
        <w:rPr>
          <w:rFonts w:ascii="Georgia" w:hAnsi="Georgia"/>
          <w:bCs/>
          <w:sz w:val="24"/>
          <w:szCs w:val="24"/>
        </w:rPr>
        <w:t xml:space="preserve">slik den var i den </w:t>
      </w:r>
      <w:r w:rsidRPr="00CD1FF6">
        <w:rPr>
          <w:rFonts w:ascii="Georgia" w:hAnsi="Georgia"/>
          <w:bCs/>
          <w:sz w:val="24"/>
          <w:szCs w:val="24"/>
        </w:rPr>
        <w:t>opprinnelig avtale</w:t>
      </w:r>
      <w:r w:rsidR="00980702" w:rsidRPr="00CD1FF6">
        <w:rPr>
          <w:rFonts w:ascii="Georgia" w:hAnsi="Georgia"/>
          <w:bCs/>
          <w:sz w:val="24"/>
          <w:szCs w:val="24"/>
        </w:rPr>
        <w:t xml:space="preserve">: </w:t>
      </w:r>
      <w:r w:rsidR="00420C17" w:rsidRPr="00CD1FF6">
        <w:rPr>
          <w:rFonts w:ascii="Georgia" w:hAnsi="Georgia"/>
          <w:bCs/>
          <w:sz w:val="24"/>
          <w:szCs w:val="24"/>
        </w:rPr>
        <w:t>Dvs. vi må undersøke</w:t>
      </w:r>
      <w:r w:rsidR="003F0A1F">
        <w:rPr>
          <w:rFonts w:ascii="Georgia" w:hAnsi="Georgia"/>
          <w:bCs/>
          <w:sz w:val="24"/>
          <w:szCs w:val="24"/>
        </w:rPr>
        <w:t xml:space="preserve"> vedtaksprosessen iht</w:t>
      </w:r>
      <w:r w:rsidR="00980702" w:rsidRPr="00CD1FF6">
        <w:rPr>
          <w:rFonts w:ascii="Georgia" w:hAnsi="Georgia"/>
          <w:bCs/>
          <w:sz w:val="24"/>
          <w:szCs w:val="24"/>
        </w:rPr>
        <w:t>:</w:t>
      </w:r>
      <w:r w:rsidR="00420C17" w:rsidRPr="00CD1FF6">
        <w:rPr>
          <w:rFonts w:ascii="Georgia" w:hAnsi="Georgia"/>
          <w:bCs/>
          <w:sz w:val="24"/>
          <w:szCs w:val="24"/>
        </w:rPr>
        <w:t xml:space="preserve"> Council Directive 90/547/EEC av 29 ok</w:t>
      </w:r>
      <w:r w:rsidR="00980702" w:rsidRPr="00CD1FF6">
        <w:rPr>
          <w:rFonts w:ascii="Georgia" w:hAnsi="Georgia"/>
          <w:bCs/>
          <w:sz w:val="24"/>
          <w:szCs w:val="24"/>
        </w:rPr>
        <w:t>tober 1990</w:t>
      </w:r>
      <w:r w:rsidR="002E2608" w:rsidRPr="00CD1FF6">
        <w:rPr>
          <w:rFonts w:ascii="Georgia" w:hAnsi="Georgia"/>
          <w:bCs/>
          <w:sz w:val="24"/>
          <w:szCs w:val="24"/>
        </w:rPr>
        <w:t>:</w:t>
      </w:r>
    </w:p>
    <w:p w:rsidR="00B216EE" w:rsidRDefault="00B216EE" w:rsidP="00CD1FF6">
      <w:pPr>
        <w:spacing w:after="0" w:line="360" w:lineRule="auto"/>
        <w:rPr>
          <w:rFonts w:ascii="Georgia" w:hAnsi="Georgia"/>
          <w:sz w:val="24"/>
          <w:szCs w:val="24"/>
        </w:rPr>
      </w:pPr>
    </w:p>
    <w:p w:rsidR="002E2608" w:rsidRPr="00CD1FF6" w:rsidRDefault="002E2608" w:rsidP="00CD1FF6">
      <w:pPr>
        <w:spacing w:after="0" w:line="360" w:lineRule="auto"/>
        <w:rPr>
          <w:rFonts w:ascii="Georgia" w:hAnsi="Georgia"/>
          <w:sz w:val="24"/>
          <w:szCs w:val="24"/>
        </w:rPr>
      </w:pPr>
      <w:r w:rsidRPr="00CD1FF6">
        <w:rPr>
          <w:rFonts w:ascii="Georgia" w:hAnsi="Georgia"/>
          <w:sz w:val="24"/>
          <w:szCs w:val="24"/>
        </w:rPr>
        <w:t>«</w:t>
      </w:r>
      <w:r w:rsidR="00CD1FF6" w:rsidRPr="00CD1FF6">
        <w:rPr>
          <w:rFonts w:ascii="Georgia" w:hAnsi="Georgia"/>
          <w:sz w:val="24"/>
          <w:szCs w:val="24"/>
        </w:rPr>
        <w:t>Direktivets bestemmelser skal f</w:t>
      </w:r>
      <w:r w:rsidRPr="00CD1FF6">
        <w:rPr>
          <w:rFonts w:ascii="Georgia" w:hAnsi="Georgia"/>
          <w:sz w:val="24"/>
          <w:szCs w:val="24"/>
        </w:rPr>
        <w:t xml:space="preserve">or denne avtales formål gjelde med følgende tilpasning: </w:t>
      </w:r>
    </w:p>
    <w:p w:rsidR="002E2608" w:rsidRPr="00CD1FF6" w:rsidRDefault="002E2608" w:rsidP="00CD1FF6">
      <w:pPr>
        <w:pStyle w:val="ListParagraph"/>
        <w:numPr>
          <w:ilvl w:val="0"/>
          <w:numId w:val="1"/>
        </w:numPr>
        <w:spacing w:after="0" w:line="360" w:lineRule="auto"/>
        <w:rPr>
          <w:rFonts w:ascii="Georgia" w:hAnsi="Georgia"/>
          <w:sz w:val="24"/>
          <w:szCs w:val="24"/>
        </w:rPr>
      </w:pPr>
      <w:r w:rsidRPr="00CD1FF6">
        <w:rPr>
          <w:rFonts w:ascii="Georgia" w:hAnsi="Georgia"/>
          <w:sz w:val="24"/>
          <w:szCs w:val="24"/>
        </w:rPr>
        <w:t xml:space="preserve">I artikkel 3 nr. 4, </w:t>
      </w:r>
    </w:p>
    <w:p w:rsidR="002E2608" w:rsidRPr="00CD1FF6" w:rsidRDefault="002E2608" w:rsidP="00CD1FF6">
      <w:pPr>
        <w:pStyle w:val="ListParagraph"/>
        <w:spacing w:after="0" w:line="360" w:lineRule="auto"/>
        <w:rPr>
          <w:rFonts w:ascii="Georgia" w:hAnsi="Georgia"/>
          <w:sz w:val="24"/>
          <w:szCs w:val="24"/>
        </w:rPr>
      </w:pPr>
      <w:r w:rsidRPr="00CD1FF6">
        <w:rPr>
          <w:rFonts w:ascii="Georgia" w:hAnsi="Georgia"/>
          <w:sz w:val="24"/>
          <w:szCs w:val="24"/>
        </w:rPr>
        <w:t>…</w:t>
      </w:r>
    </w:p>
    <w:p w:rsidR="00070B02" w:rsidRPr="00B216EE" w:rsidRDefault="002E2608" w:rsidP="00CD1FF6">
      <w:pPr>
        <w:pStyle w:val="ListParagraph"/>
        <w:numPr>
          <w:ilvl w:val="0"/>
          <w:numId w:val="3"/>
        </w:numPr>
        <w:spacing w:after="0" w:line="360" w:lineRule="auto"/>
        <w:rPr>
          <w:rFonts w:ascii="Georgia" w:hAnsi="Georgia"/>
          <w:sz w:val="24"/>
          <w:szCs w:val="24"/>
        </w:rPr>
      </w:pPr>
      <w:r w:rsidRPr="00CD1FF6">
        <w:rPr>
          <w:rFonts w:ascii="Georgia" w:hAnsi="Georgia"/>
          <w:sz w:val="24"/>
          <w:szCs w:val="24"/>
        </w:rPr>
        <w:t xml:space="preserve">hvert av de berørte foretak kan, med hensyn til handel  mellom Felleskapet og en EFTA-stat, anmode om at vilkårene for transitt gjøres til gjenstand for en </w:t>
      </w:r>
      <w:r w:rsidRPr="00CD1FF6">
        <w:rPr>
          <w:rFonts w:ascii="Georgia" w:hAnsi="Georgia"/>
          <w:b/>
          <w:sz w:val="24"/>
          <w:szCs w:val="24"/>
        </w:rPr>
        <w:t>forliksprosedyre</w:t>
      </w:r>
      <w:r w:rsidRPr="00CD1FF6">
        <w:rPr>
          <w:rFonts w:ascii="Georgia" w:hAnsi="Georgia"/>
          <w:sz w:val="24"/>
          <w:szCs w:val="24"/>
        </w:rPr>
        <w:t xml:space="preserve"> som skal fastsettes av EØS-komiteen</w:t>
      </w:r>
      <w:r w:rsidR="000F5489" w:rsidRPr="00CD1FF6">
        <w:rPr>
          <w:rFonts w:ascii="Georgia" w:hAnsi="Georgia"/>
          <w:sz w:val="24"/>
          <w:szCs w:val="24"/>
        </w:rPr>
        <w:t xml:space="preserve"> (uth.her)</w:t>
      </w:r>
      <w:r w:rsidRPr="00CD1FF6">
        <w:rPr>
          <w:rFonts w:ascii="Georgia" w:hAnsi="Georgia"/>
          <w:sz w:val="24"/>
          <w:szCs w:val="24"/>
        </w:rPr>
        <w:t>»</w:t>
      </w:r>
    </w:p>
    <w:p w:rsidR="0011332D" w:rsidRPr="00CD1FF6" w:rsidRDefault="006B5979" w:rsidP="00CD1FF6">
      <w:pPr>
        <w:spacing w:after="0" w:line="360" w:lineRule="auto"/>
        <w:rPr>
          <w:rFonts w:ascii="Georgia" w:hAnsi="Georgia"/>
          <w:sz w:val="24"/>
          <w:szCs w:val="24"/>
        </w:rPr>
      </w:pPr>
      <w:r w:rsidRPr="00CD1FF6">
        <w:rPr>
          <w:rFonts w:ascii="Georgia" w:hAnsi="Georgia"/>
          <w:noProof/>
          <w:sz w:val="24"/>
          <w:szCs w:val="24"/>
          <w:lang w:eastAsia="nb-NO"/>
        </w:rPr>
        <w:drawing>
          <wp:inline distT="0" distB="0" distL="0" distR="0">
            <wp:extent cx="5760720" cy="230074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300748"/>
                    </a:xfrm>
                    <a:prstGeom prst="rect">
                      <a:avLst/>
                    </a:prstGeom>
                    <a:noFill/>
                    <a:ln>
                      <a:noFill/>
                    </a:ln>
                  </pic:spPr>
                </pic:pic>
              </a:graphicData>
            </a:graphic>
          </wp:inline>
        </w:drawing>
      </w:r>
    </w:p>
    <w:p w:rsidR="00070B02" w:rsidRPr="00CD1FF6" w:rsidRDefault="00670ED7" w:rsidP="00CD1FF6">
      <w:pPr>
        <w:spacing w:after="0" w:line="360" w:lineRule="auto"/>
        <w:jc w:val="center"/>
        <w:rPr>
          <w:rFonts w:ascii="Georgia" w:hAnsi="Georgia"/>
          <w:b/>
          <w:sz w:val="24"/>
          <w:szCs w:val="24"/>
        </w:rPr>
      </w:pPr>
      <w:r w:rsidRPr="00CD1FF6">
        <w:rPr>
          <w:rFonts w:ascii="Georgia" w:hAnsi="Georgia"/>
          <w:b/>
          <w:sz w:val="24"/>
          <w:szCs w:val="24"/>
        </w:rPr>
        <w:t>Figur 1: Organiseringen av beslutninger om samkjøringsledninger, høyspentnett og grenseoverskridende kabler</w:t>
      </w:r>
      <w:r w:rsidR="00CD1FF6" w:rsidRPr="00CD1FF6">
        <w:rPr>
          <w:rFonts w:ascii="Georgia" w:hAnsi="Georgia"/>
          <w:b/>
          <w:sz w:val="24"/>
          <w:szCs w:val="24"/>
        </w:rPr>
        <w:t>, et 2 pilar system</w:t>
      </w:r>
    </w:p>
    <w:p w:rsidR="00070B02" w:rsidRPr="00CD1FF6" w:rsidRDefault="00070B02" w:rsidP="00CD1FF6">
      <w:pPr>
        <w:spacing w:after="0" w:line="360" w:lineRule="auto"/>
        <w:rPr>
          <w:rFonts w:ascii="Georgia" w:hAnsi="Georgia"/>
          <w:sz w:val="24"/>
          <w:szCs w:val="24"/>
        </w:rPr>
      </w:pPr>
    </w:p>
    <w:p w:rsidR="00070B02" w:rsidRPr="00CD1FF6" w:rsidRDefault="00A90278" w:rsidP="00CD1FF6">
      <w:pPr>
        <w:spacing w:after="0" w:line="360" w:lineRule="auto"/>
        <w:rPr>
          <w:rFonts w:ascii="Georgia" w:hAnsi="Georgia"/>
          <w:sz w:val="24"/>
          <w:szCs w:val="24"/>
        </w:rPr>
      </w:pPr>
      <w:r>
        <w:rPr>
          <w:rFonts w:ascii="Georgia" w:hAnsi="Georgia"/>
          <w:sz w:val="24"/>
          <w:szCs w:val="24"/>
        </w:rPr>
        <w:t>Ordningen her fremgår greit av figur 1. Våren</w:t>
      </w:r>
      <w:r w:rsidR="00070B02" w:rsidRPr="00CD1FF6">
        <w:rPr>
          <w:rFonts w:ascii="Georgia" w:hAnsi="Georgia"/>
          <w:sz w:val="24"/>
          <w:szCs w:val="24"/>
        </w:rPr>
        <w:t xml:space="preserve"> 2017 fremmet EU</w:t>
      </w:r>
      <w:r>
        <w:rPr>
          <w:rFonts w:ascii="Georgia" w:hAnsi="Georgia"/>
          <w:sz w:val="24"/>
          <w:szCs w:val="24"/>
        </w:rPr>
        <w:t xml:space="preserve"> forslag</w:t>
      </w:r>
      <w:r w:rsidR="00070B02" w:rsidRPr="00CD1FF6">
        <w:rPr>
          <w:rFonts w:ascii="Georgia" w:hAnsi="Georgia"/>
          <w:sz w:val="24"/>
          <w:szCs w:val="24"/>
        </w:rPr>
        <w:t xml:space="preserve"> for Det Blandede EØS-utvalg bestående av EFTA og EU-representanter </w:t>
      </w:r>
      <w:r w:rsidR="00306494" w:rsidRPr="00CD1FF6">
        <w:rPr>
          <w:rFonts w:ascii="Georgia" w:hAnsi="Georgia"/>
          <w:sz w:val="24"/>
          <w:szCs w:val="24"/>
        </w:rPr>
        <w:t>om at den tredje energipakke skulle være EØS-relevant og at denne – med de tilpasninger som EØS-avtalen krevde – ble inkorporert i EØS-avtalen Vedlegg IV (Energi):</w:t>
      </w:r>
    </w:p>
    <w:p w:rsidR="00070B02" w:rsidRPr="00CD1FF6" w:rsidRDefault="00070B02" w:rsidP="00CD1FF6">
      <w:pPr>
        <w:tabs>
          <w:tab w:val="left" w:pos="6990"/>
        </w:tabs>
        <w:spacing w:after="0" w:line="360" w:lineRule="auto"/>
        <w:rPr>
          <w:rFonts w:ascii="Georgia" w:hAnsi="Georgia"/>
          <w:sz w:val="24"/>
          <w:szCs w:val="24"/>
        </w:rPr>
      </w:pPr>
      <w:r w:rsidRPr="00CD1FF6">
        <w:rPr>
          <w:rFonts w:ascii="Georgia" w:hAnsi="Georgia"/>
          <w:sz w:val="24"/>
          <w:szCs w:val="24"/>
        </w:rPr>
        <w:lastRenderedPageBreak/>
        <w:tab/>
      </w:r>
      <w:r w:rsidRPr="00CD1FF6">
        <w:rPr>
          <w:rFonts w:ascii="Georgia" w:hAnsi="Georgia"/>
          <w:sz w:val="24"/>
          <w:szCs w:val="24"/>
        </w:rPr>
        <w:drawing>
          <wp:inline distT="0" distB="0" distL="0" distR="0" wp14:anchorId="660B3773" wp14:editId="5CB03987">
            <wp:extent cx="5657850" cy="5695950"/>
            <wp:effectExtent l="0" t="0" r="0" b="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8117" cy="5696219"/>
                    </a:xfrm>
                    <a:prstGeom prst="rect">
                      <a:avLst/>
                    </a:prstGeom>
                    <a:noFill/>
                    <a:ln>
                      <a:noFill/>
                    </a:ln>
                  </pic:spPr>
                </pic:pic>
              </a:graphicData>
            </a:graphic>
          </wp:inline>
        </w:drawing>
      </w:r>
    </w:p>
    <w:p w:rsidR="00306494" w:rsidRPr="00CD1FF6" w:rsidRDefault="00306494" w:rsidP="00CD1FF6">
      <w:pPr>
        <w:tabs>
          <w:tab w:val="left" w:pos="6990"/>
        </w:tabs>
        <w:spacing w:after="0" w:line="360" w:lineRule="auto"/>
        <w:rPr>
          <w:rFonts w:ascii="Georgia" w:hAnsi="Georgia"/>
          <w:sz w:val="24"/>
          <w:szCs w:val="24"/>
        </w:rPr>
      </w:pPr>
    </w:p>
    <w:p w:rsidR="00306494" w:rsidRPr="00CD1FF6" w:rsidRDefault="00306494" w:rsidP="00CD1FF6">
      <w:pPr>
        <w:spacing w:after="0" w:line="360" w:lineRule="auto"/>
        <w:ind w:left="426"/>
        <w:rPr>
          <w:rFonts w:ascii="Georgia" w:hAnsi="Georgia"/>
          <w:sz w:val="24"/>
          <w:szCs w:val="24"/>
        </w:rPr>
      </w:pPr>
      <w:r w:rsidRPr="00CD1FF6">
        <w:rPr>
          <w:rFonts w:ascii="Georgia" w:hAnsi="Georgia"/>
          <w:b/>
          <w:bCs/>
          <w:sz w:val="24"/>
          <w:szCs w:val="24"/>
        </w:rPr>
        <w:t>«Udvidelsen</w:t>
      </w:r>
      <w:r w:rsidRPr="00CD1FF6">
        <w:rPr>
          <w:rFonts w:ascii="Georgia" w:hAnsi="Georgia"/>
          <w:sz w:val="24"/>
          <w:szCs w:val="24"/>
        </w:rPr>
        <w:t xml:space="preserve"> af gældende EU-ret til at omfatte EØS-EFTA-staterne ved indarbejdelse heraf i EØS-aftalen gennemføres i overensstemmelse med EØS-aftalens mål og principper om at oprette et dynamisk og ensartet europæiske samarbejdsområde på grundlag af </w:t>
      </w:r>
      <w:r w:rsidRPr="00CD1FF6">
        <w:rPr>
          <w:rFonts w:ascii="Georgia" w:hAnsi="Georgia"/>
          <w:b/>
          <w:bCs/>
          <w:sz w:val="24"/>
          <w:szCs w:val="24"/>
        </w:rPr>
        <w:t xml:space="preserve">fælles regler </w:t>
      </w:r>
      <w:r w:rsidRPr="00CD1FF6">
        <w:rPr>
          <w:rFonts w:ascii="Georgia" w:hAnsi="Georgia"/>
          <w:sz w:val="24"/>
          <w:szCs w:val="24"/>
        </w:rPr>
        <w:t xml:space="preserve">og lige konkurrencevilkår. </w:t>
      </w:r>
    </w:p>
    <w:p w:rsidR="00306494" w:rsidRPr="00CD1FF6" w:rsidRDefault="00306494" w:rsidP="00CD1FF6">
      <w:pPr>
        <w:spacing w:after="0" w:line="360" w:lineRule="auto"/>
        <w:ind w:left="426"/>
        <w:rPr>
          <w:rFonts w:ascii="Georgia" w:hAnsi="Georgia"/>
          <w:sz w:val="24"/>
          <w:szCs w:val="24"/>
        </w:rPr>
      </w:pPr>
      <w:r w:rsidRPr="00CD1FF6">
        <w:rPr>
          <w:rFonts w:ascii="Georgia" w:hAnsi="Georgia"/>
          <w:sz w:val="24"/>
          <w:szCs w:val="24"/>
        </w:rPr>
        <w:t xml:space="preserve">Disse bestræbelser omfatter </w:t>
      </w:r>
      <w:r w:rsidRPr="00CD1FF6">
        <w:rPr>
          <w:rFonts w:ascii="Georgia" w:hAnsi="Georgia"/>
          <w:b/>
          <w:bCs/>
          <w:sz w:val="24"/>
          <w:szCs w:val="24"/>
        </w:rPr>
        <w:t>alle</w:t>
      </w:r>
      <w:r w:rsidRPr="00CD1FF6">
        <w:rPr>
          <w:rFonts w:ascii="Georgia" w:hAnsi="Georgia"/>
          <w:sz w:val="24"/>
          <w:szCs w:val="24"/>
        </w:rPr>
        <w:t xml:space="preserve"> politikker inden for området fri bevægelighed for varer, personer, tjenesteydelser og kapital såvel som ledsagepolitikker og horisontale politikker i EØS-aftalen»</w:t>
      </w:r>
      <w:r w:rsidR="000F5489" w:rsidRPr="00CD1FF6">
        <w:rPr>
          <w:rFonts w:ascii="Georgia" w:hAnsi="Georgia"/>
          <w:sz w:val="24"/>
          <w:szCs w:val="24"/>
        </w:rPr>
        <w:t xml:space="preserve"> (uth.her)</w:t>
      </w:r>
      <w:r w:rsidRPr="00CD1FF6">
        <w:rPr>
          <w:rFonts w:ascii="Georgia" w:hAnsi="Georgia"/>
          <w:sz w:val="24"/>
          <w:szCs w:val="24"/>
        </w:rPr>
        <w:t>.</w:t>
      </w:r>
    </w:p>
    <w:p w:rsidR="00306494" w:rsidRPr="00CD1FF6" w:rsidRDefault="00306494" w:rsidP="00CD1FF6">
      <w:pPr>
        <w:tabs>
          <w:tab w:val="left" w:pos="6990"/>
        </w:tabs>
        <w:spacing w:after="0" w:line="360" w:lineRule="auto"/>
        <w:rPr>
          <w:rFonts w:ascii="Georgia" w:hAnsi="Georgia"/>
          <w:sz w:val="24"/>
          <w:szCs w:val="24"/>
        </w:rPr>
      </w:pPr>
    </w:p>
    <w:p w:rsidR="00A90278" w:rsidRPr="00A90278" w:rsidRDefault="00306494" w:rsidP="00CD1FF6">
      <w:pPr>
        <w:tabs>
          <w:tab w:val="left" w:pos="6990"/>
        </w:tabs>
        <w:spacing w:after="0" w:line="360" w:lineRule="auto"/>
        <w:rPr>
          <w:rFonts w:ascii="Georgia" w:hAnsi="Georgia"/>
          <w:sz w:val="24"/>
          <w:szCs w:val="24"/>
        </w:rPr>
      </w:pPr>
      <w:r w:rsidRPr="00CD1FF6">
        <w:rPr>
          <w:rFonts w:ascii="Georgia" w:hAnsi="Georgia"/>
          <w:sz w:val="24"/>
          <w:szCs w:val="24"/>
        </w:rPr>
        <w:t xml:space="preserve">Her </w:t>
      </w:r>
      <w:r w:rsidR="00670ED7" w:rsidRPr="00CD1FF6">
        <w:rPr>
          <w:rFonts w:ascii="Georgia" w:hAnsi="Georgia"/>
          <w:sz w:val="24"/>
          <w:szCs w:val="24"/>
        </w:rPr>
        <w:t xml:space="preserve">fremgår det at ved inkorporering av Energipakke III i EØS-avtalen vil energi være ansett som en vare som fullt ut er omfattet av de 4 friheter og tilgrensende EU-politiske målsettinger – herunder også alle horisontale politikker i EØS. </w:t>
      </w:r>
      <w:r w:rsidR="00A90278">
        <w:rPr>
          <w:rFonts w:ascii="Georgia" w:hAnsi="Georgia"/>
          <w:sz w:val="24"/>
          <w:szCs w:val="24"/>
        </w:rPr>
        <w:t xml:space="preserve">Dette krav er nedfelt i </w:t>
      </w:r>
      <w:r w:rsidR="00A90278" w:rsidRPr="00A90278">
        <w:rPr>
          <w:rFonts w:ascii="Georgia" w:eastAsia="Times New Roman" w:hAnsi="Georgia" w:cs="Helvetica"/>
          <w:b/>
          <w:color w:val="333333"/>
          <w:sz w:val="24"/>
          <w:szCs w:val="24"/>
          <w:lang w:eastAsia="nb-NO"/>
        </w:rPr>
        <w:t>EØS artikkel 7</w:t>
      </w:r>
      <w:r w:rsidR="00A90278" w:rsidRPr="00A90278">
        <w:rPr>
          <w:rFonts w:ascii="Georgia" w:eastAsia="Times New Roman" w:hAnsi="Georgia" w:cs="Helvetica"/>
          <w:color w:val="333333"/>
          <w:sz w:val="24"/>
          <w:szCs w:val="24"/>
          <w:lang w:eastAsia="nb-NO"/>
        </w:rPr>
        <w:t>: «</w:t>
      </w:r>
      <w:r w:rsidR="00A90278" w:rsidRPr="003F0A98">
        <w:rPr>
          <w:rFonts w:ascii="Georgia" w:eastAsia="Times New Roman" w:hAnsi="Georgia" w:cs="Helvetica"/>
          <w:color w:val="333333"/>
          <w:sz w:val="24"/>
          <w:szCs w:val="24"/>
          <w:lang w:eastAsia="nb-NO"/>
        </w:rPr>
        <w:t xml:space="preserve">Rettsakter som er omhandlet i eller inntatt i vedlegg til denne avtale eller i EØS-komiteens vedtak, </w:t>
      </w:r>
      <w:r w:rsidR="00A90278" w:rsidRPr="003F0A98">
        <w:rPr>
          <w:rFonts w:ascii="Georgia" w:eastAsia="Times New Roman" w:hAnsi="Georgia" w:cs="Helvetica"/>
          <w:b/>
          <w:color w:val="333333"/>
          <w:sz w:val="24"/>
          <w:szCs w:val="24"/>
          <w:lang w:eastAsia="nb-NO"/>
        </w:rPr>
        <w:t>skal være bindende</w:t>
      </w:r>
      <w:r w:rsidR="00A90278" w:rsidRPr="003F0A98">
        <w:rPr>
          <w:rFonts w:ascii="Georgia" w:eastAsia="Times New Roman" w:hAnsi="Georgia" w:cs="Helvetica"/>
          <w:color w:val="333333"/>
          <w:sz w:val="24"/>
          <w:szCs w:val="24"/>
          <w:lang w:eastAsia="nb-NO"/>
        </w:rPr>
        <w:t xml:space="preserve"> for avtalepartene og skal være eller gjøres til del av deres interne rettsorden</w:t>
      </w:r>
      <w:r w:rsidR="00A90278" w:rsidRPr="00A90278">
        <w:rPr>
          <w:rFonts w:ascii="Georgia" w:eastAsia="Times New Roman" w:hAnsi="Georgia" w:cs="Helvetica"/>
          <w:color w:val="333333"/>
          <w:sz w:val="24"/>
          <w:szCs w:val="24"/>
          <w:lang w:eastAsia="nb-NO"/>
        </w:rPr>
        <w:t>»</w:t>
      </w:r>
      <w:r w:rsidR="00A90278" w:rsidRPr="003F0A98">
        <w:rPr>
          <w:rFonts w:ascii="Georgia" w:eastAsia="Times New Roman" w:hAnsi="Georgia" w:cs="Helvetica"/>
          <w:color w:val="333333"/>
          <w:sz w:val="24"/>
          <w:szCs w:val="24"/>
          <w:lang w:eastAsia="nb-NO"/>
        </w:rPr>
        <w:t>:</w:t>
      </w:r>
    </w:p>
    <w:p w:rsidR="00A90278" w:rsidRDefault="00A90278" w:rsidP="00CD1FF6">
      <w:pPr>
        <w:tabs>
          <w:tab w:val="left" w:pos="6990"/>
        </w:tabs>
        <w:spacing w:after="0" w:line="360" w:lineRule="auto"/>
        <w:rPr>
          <w:rFonts w:ascii="Georgia" w:hAnsi="Georgia"/>
          <w:sz w:val="24"/>
          <w:szCs w:val="24"/>
        </w:rPr>
      </w:pPr>
      <w:bookmarkStart w:id="0" w:name="_GoBack"/>
      <w:bookmarkEnd w:id="0"/>
    </w:p>
    <w:p w:rsidR="00670ED7" w:rsidRPr="00CD1FF6" w:rsidRDefault="00670ED7" w:rsidP="00CD1FF6">
      <w:pPr>
        <w:tabs>
          <w:tab w:val="left" w:pos="6990"/>
        </w:tabs>
        <w:spacing w:after="0" w:line="360" w:lineRule="auto"/>
        <w:rPr>
          <w:rFonts w:ascii="Georgia" w:hAnsi="Georgia"/>
          <w:sz w:val="24"/>
          <w:szCs w:val="24"/>
        </w:rPr>
      </w:pPr>
      <w:r w:rsidRPr="00CD1FF6">
        <w:rPr>
          <w:rFonts w:ascii="Georgia" w:hAnsi="Georgia"/>
          <w:sz w:val="24"/>
          <w:szCs w:val="24"/>
        </w:rPr>
        <w:t xml:space="preserve">Dette omfatter følgelig alle bestemmelser som hemmer den frie flyten av energi slik vi ser det i </w:t>
      </w:r>
      <w:r w:rsidR="00A10B41" w:rsidRPr="00CD1FF6">
        <w:rPr>
          <w:rFonts w:ascii="Georgia" w:hAnsi="Georgia"/>
          <w:sz w:val="24"/>
          <w:szCs w:val="24"/>
        </w:rPr>
        <w:t xml:space="preserve">f.eks. </w:t>
      </w:r>
      <w:r w:rsidRPr="00CD1FF6">
        <w:rPr>
          <w:rFonts w:ascii="Georgia" w:hAnsi="Georgia"/>
          <w:sz w:val="24"/>
          <w:szCs w:val="24"/>
        </w:rPr>
        <w:t>følgende bestemmelser:</w:t>
      </w:r>
    </w:p>
    <w:p w:rsidR="00306494" w:rsidRPr="00CD1FF6" w:rsidRDefault="00306494" w:rsidP="00CD1FF6">
      <w:pPr>
        <w:tabs>
          <w:tab w:val="left" w:pos="6990"/>
        </w:tabs>
        <w:spacing w:after="0" w:line="360" w:lineRule="auto"/>
        <w:rPr>
          <w:rFonts w:ascii="Georgia" w:hAnsi="Georgia"/>
          <w:sz w:val="24"/>
          <w:szCs w:val="24"/>
        </w:rPr>
      </w:pPr>
    </w:p>
    <w:p w:rsidR="00000000" w:rsidRPr="00CD1FF6" w:rsidRDefault="00A90278" w:rsidP="00CD1FF6">
      <w:pPr>
        <w:numPr>
          <w:ilvl w:val="0"/>
          <w:numId w:val="4"/>
        </w:numPr>
        <w:tabs>
          <w:tab w:val="left" w:pos="6990"/>
        </w:tabs>
        <w:spacing w:after="0" w:line="360" w:lineRule="auto"/>
        <w:rPr>
          <w:rFonts w:ascii="Georgia" w:hAnsi="Georgia"/>
          <w:sz w:val="24"/>
          <w:szCs w:val="24"/>
        </w:rPr>
      </w:pPr>
      <w:r w:rsidRPr="00CD1FF6">
        <w:rPr>
          <w:rFonts w:ascii="Georgia" w:hAnsi="Georgia"/>
          <w:sz w:val="24"/>
          <w:szCs w:val="24"/>
        </w:rPr>
        <w:t> </w:t>
      </w:r>
      <w:r w:rsidRPr="00CD1FF6">
        <w:rPr>
          <w:rFonts w:ascii="Georgia" w:hAnsi="Georgia"/>
          <w:b/>
          <w:bCs/>
          <w:sz w:val="24"/>
          <w:szCs w:val="24"/>
        </w:rPr>
        <w:t>EØS Artikkel 11.</w:t>
      </w:r>
      <w:r w:rsidRPr="00CD1FF6">
        <w:rPr>
          <w:rFonts w:ascii="Georgia" w:hAnsi="Georgia"/>
          <w:sz w:val="24"/>
          <w:szCs w:val="24"/>
        </w:rPr>
        <w:t xml:space="preserve"> «Kvantitative importrestriksjoner og alle tiltak med tilsvarende virkning skal være forbudt mellom avtalepartene». </w:t>
      </w:r>
      <w:r w:rsidR="00670ED7" w:rsidRPr="00CD1FF6">
        <w:rPr>
          <w:rFonts w:ascii="Georgia" w:hAnsi="Georgia"/>
          <w:i/>
          <w:iCs/>
          <w:sz w:val="24"/>
          <w:szCs w:val="24"/>
        </w:rPr>
        <w:t xml:space="preserve"> </w:t>
      </w:r>
    </w:p>
    <w:p w:rsidR="00000000" w:rsidRPr="00CD1FF6" w:rsidRDefault="00A90278" w:rsidP="00CD1FF6">
      <w:pPr>
        <w:numPr>
          <w:ilvl w:val="0"/>
          <w:numId w:val="4"/>
        </w:numPr>
        <w:tabs>
          <w:tab w:val="left" w:pos="6990"/>
        </w:tabs>
        <w:spacing w:after="0" w:line="360" w:lineRule="auto"/>
        <w:rPr>
          <w:rFonts w:ascii="Georgia" w:hAnsi="Georgia"/>
          <w:sz w:val="24"/>
          <w:szCs w:val="24"/>
        </w:rPr>
      </w:pPr>
      <w:r w:rsidRPr="00CD1FF6">
        <w:rPr>
          <w:rFonts w:ascii="Georgia" w:hAnsi="Georgia"/>
          <w:b/>
          <w:bCs/>
          <w:sz w:val="24"/>
          <w:szCs w:val="24"/>
        </w:rPr>
        <w:t>EØS Artikkel 12.</w:t>
      </w:r>
      <w:r w:rsidRPr="00CD1FF6">
        <w:rPr>
          <w:rFonts w:ascii="Georgia" w:hAnsi="Georgia"/>
          <w:sz w:val="24"/>
          <w:szCs w:val="24"/>
        </w:rPr>
        <w:t xml:space="preserve"> «Kvantitative eksportrestriksjoner og alle tiltak med tilsvarende virkning skal være forbudt mellom avtalepartene» </w:t>
      </w:r>
      <w:r w:rsidR="00670ED7" w:rsidRPr="00CD1FF6">
        <w:rPr>
          <w:rFonts w:ascii="Georgia" w:hAnsi="Georgia"/>
          <w:i/>
          <w:iCs/>
          <w:sz w:val="24"/>
          <w:szCs w:val="24"/>
        </w:rPr>
        <w:t xml:space="preserve"> </w:t>
      </w:r>
    </w:p>
    <w:p w:rsidR="00A10B41" w:rsidRPr="00CD1FF6" w:rsidRDefault="00A90278" w:rsidP="00CD1FF6">
      <w:pPr>
        <w:numPr>
          <w:ilvl w:val="0"/>
          <w:numId w:val="4"/>
        </w:numPr>
        <w:tabs>
          <w:tab w:val="left" w:pos="6990"/>
        </w:tabs>
        <w:spacing w:after="0" w:line="360" w:lineRule="auto"/>
        <w:rPr>
          <w:rFonts w:ascii="Georgia" w:hAnsi="Georgia"/>
          <w:sz w:val="24"/>
          <w:szCs w:val="24"/>
        </w:rPr>
      </w:pPr>
      <w:r w:rsidRPr="00CD1FF6">
        <w:rPr>
          <w:rFonts w:ascii="Georgia" w:hAnsi="Georgia"/>
          <w:b/>
          <w:bCs/>
          <w:sz w:val="24"/>
          <w:szCs w:val="24"/>
        </w:rPr>
        <w:t>EØS Artikkel 13.</w:t>
      </w:r>
      <w:r w:rsidRPr="00CD1FF6">
        <w:rPr>
          <w:rFonts w:ascii="Georgia" w:hAnsi="Georgia"/>
          <w:sz w:val="24"/>
          <w:szCs w:val="24"/>
        </w:rPr>
        <w:t xml:space="preserve"> «Bestemmelsene i artikkel 11 og 12 skal ikke være til hinder for forbud eller restriksjoner på import, eksport eller transitt s</w:t>
      </w:r>
      <w:r w:rsidRPr="00CD1FF6">
        <w:rPr>
          <w:rFonts w:ascii="Georgia" w:hAnsi="Georgia"/>
          <w:sz w:val="24"/>
          <w:szCs w:val="24"/>
        </w:rPr>
        <w:t>om er begrunnet ut fra hensynet til offentlig moral, orden og sikkerhet, vernet om menneskers og dyrs liv og helse, plantelivet, nasjonale skatter av kunstnerisk, historisk eller arkeologisk verdi eller den industrielle eller kommersielle eiendomsrett. Sli</w:t>
      </w:r>
      <w:r w:rsidRPr="00CD1FF6">
        <w:rPr>
          <w:rFonts w:ascii="Georgia" w:hAnsi="Georgia"/>
          <w:sz w:val="24"/>
          <w:szCs w:val="24"/>
        </w:rPr>
        <w:t xml:space="preserve">ke forbud eller restriksjoner må dog ikke kunne brukes til vilkårlig forskjellsbehandling eller være en skjult hindring på </w:t>
      </w:r>
      <w:r w:rsidR="00A10B41" w:rsidRPr="00CD1FF6">
        <w:rPr>
          <w:rFonts w:ascii="Georgia" w:hAnsi="Georgia"/>
          <w:sz w:val="24"/>
          <w:szCs w:val="24"/>
        </w:rPr>
        <w:t>handelen mellom avtalepartene».</w:t>
      </w:r>
    </w:p>
    <w:p w:rsidR="00A10B41" w:rsidRPr="00CD1FF6" w:rsidRDefault="00A10B41" w:rsidP="00CD1FF6">
      <w:pPr>
        <w:pStyle w:val="ListParagraph"/>
        <w:numPr>
          <w:ilvl w:val="0"/>
          <w:numId w:val="4"/>
        </w:numPr>
        <w:autoSpaceDE w:val="0"/>
        <w:autoSpaceDN w:val="0"/>
        <w:adjustRightInd w:val="0"/>
        <w:spacing w:after="0" w:line="360" w:lineRule="auto"/>
        <w:rPr>
          <w:rFonts w:ascii="Georgia" w:hAnsi="Georgia" w:cs="Calibri"/>
          <w:color w:val="000000"/>
          <w:sz w:val="24"/>
          <w:szCs w:val="24"/>
        </w:rPr>
      </w:pPr>
      <w:r w:rsidRPr="00CD1FF6">
        <w:rPr>
          <w:rFonts w:ascii="Georgia" w:hAnsi="Georgia" w:cs="Calibri"/>
          <w:b/>
          <w:iCs/>
          <w:color w:val="000000"/>
          <w:sz w:val="24"/>
          <w:szCs w:val="24"/>
        </w:rPr>
        <w:t>EØS artikkel 40:</w:t>
      </w:r>
      <w:r w:rsidRPr="00CD1FF6">
        <w:rPr>
          <w:rFonts w:ascii="Georgia" w:hAnsi="Georgia" w:cs="Calibri"/>
          <w:i/>
          <w:iCs/>
          <w:color w:val="000000"/>
          <w:sz w:val="24"/>
          <w:szCs w:val="24"/>
        </w:rPr>
        <w:t xml:space="preserve"> «Innen rammen av bestemmelsene i denne avtale skal det mellom avtalepartene ikke være noen restriksjoner på overføring av kapital tilhørende personer bosatt i EFs medlemsstater eller EFTA-statene og ingen forskjellsbehandling på grunn av partenes nasjonalitet, bosted eller stedet for kapitalanbringelsen. Vedlegg XII inneholder de bestemmelser som er nødvendige for å gjennomføre denne artikkel.»</w:t>
      </w:r>
    </w:p>
    <w:p w:rsidR="00A10B41" w:rsidRPr="00CD1FF6" w:rsidRDefault="00A10B41" w:rsidP="00CD1FF6">
      <w:pPr>
        <w:pStyle w:val="ListParagraph"/>
        <w:autoSpaceDE w:val="0"/>
        <w:autoSpaceDN w:val="0"/>
        <w:adjustRightInd w:val="0"/>
        <w:spacing w:after="0" w:line="360" w:lineRule="auto"/>
        <w:rPr>
          <w:rFonts w:ascii="Georgia" w:hAnsi="Georgia" w:cs="Calibri"/>
          <w:color w:val="000000"/>
          <w:sz w:val="24"/>
          <w:szCs w:val="24"/>
        </w:rPr>
      </w:pPr>
    </w:p>
    <w:p w:rsidR="00A10B41" w:rsidRPr="00CD1FF6" w:rsidRDefault="00A90278" w:rsidP="00CD1FF6">
      <w:pPr>
        <w:pStyle w:val="ListParagraph"/>
        <w:numPr>
          <w:ilvl w:val="0"/>
          <w:numId w:val="4"/>
        </w:numPr>
        <w:autoSpaceDE w:val="0"/>
        <w:autoSpaceDN w:val="0"/>
        <w:adjustRightInd w:val="0"/>
        <w:spacing w:after="0" w:line="360" w:lineRule="auto"/>
        <w:rPr>
          <w:rFonts w:ascii="Georgia" w:hAnsi="Georgia" w:cs="Calibri"/>
          <w:color w:val="000000"/>
          <w:sz w:val="24"/>
          <w:szCs w:val="24"/>
        </w:rPr>
      </w:pPr>
      <w:r w:rsidRPr="00CD1FF6">
        <w:rPr>
          <w:rFonts w:ascii="Georgia" w:hAnsi="Georgia" w:cs="Calibri"/>
          <w:b/>
          <w:bCs/>
          <w:color w:val="000000"/>
          <w:sz w:val="24"/>
          <w:szCs w:val="24"/>
          <w:lang w:val="en-US"/>
        </w:rPr>
        <w:t>EØS artikkel 4.</w:t>
      </w:r>
      <w:r w:rsidRPr="00CD1FF6">
        <w:rPr>
          <w:rFonts w:ascii="Georgia" w:hAnsi="Georgia" w:cs="Calibri"/>
          <w:color w:val="000000"/>
          <w:sz w:val="24"/>
          <w:szCs w:val="24"/>
          <w:lang w:val="en-US"/>
        </w:rPr>
        <w:t xml:space="preserve"> </w:t>
      </w:r>
      <w:r w:rsidRPr="00CD1FF6">
        <w:rPr>
          <w:rFonts w:ascii="Georgia" w:hAnsi="Georgia" w:cs="Calibri"/>
          <w:color w:val="000000"/>
          <w:sz w:val="24"/>
          <w:szCs w:val="24"/>
        </w:rPr>
        <w:t>«</w:t>
      </w:r>
      <w:r w:rsidR="00A10B41" w:rsidRPr="00CD1FF6">
        <w:rPr>
          <w:rFonts w:ascii="Georgia" w:hAnsi="Georgia" w:cs="Calibri"/>
          <w:i/>
          <w:iCs/>
          <w:color w:val="000000"/>
          <w:sz w:val="24"/>
          <w:szCs w:val="24"/>
        </w:rPr>
        <w:t>Enhver forskjellsbehandling på grunnlag av nasjonalitet skal være forbudt innenfor denne avtales virkeområde, med forbehold for de særbestemmelser den selv gir».</w:t>
      </w:r>
    </w:p>
    <w:p w:rsidR="00A10B41" w:rsidRPr="00CD1FF6" w:rsidRDefault="00A10B41" w:rsidP="00CD1FF6">
      <w:pPr>
        <w:pStyle w:val="ListParagraph"/>
        <w:autoSpaceDE w:val="0"/>
        <w:autoSpaceDN w:val="0"/>
        <w:adjustRightInd w:val="0"/>
        <w:spacing w:after="0" w:line="360" w:lineRule="auto"/>
        <w:rPr>
          <w:rFonts w:ascii="Georgia" w:hAnsi="Georgia" w:cs="Calibri"/>
          <w:color w:val="000000"/>
          <w:sz w:val="24"/>
          <w:szCs w:val="24"/>
        </w:rPr>
      </w:pPr>
    </w:p>
    <w:p w:rsidR="00A10B41" w:rsidRPr="00CD1FF6" w:rsidRDefault="00A90278" w:rsidP="00CD1FF6">
      <w:pPr>
        <w:pStyle w:val="ListParagraph"/>
        <w:numPr>
          <w:ilvl w:val="0"/>
          <w:numId w:val="4"/>
        </w:numPr>
        <w:autoSpaceDE w:val="0"/>
        <w:autoSpaceDN w:val="0"/>
        <w:adjustRightInd w:val="0"/>
        <w:spacing w:after="0" w:line="360" w:lineRule="auto"/>
        <w:rPr>
          <w:rFonts w:ascii="Georgia" w:hAnsi="Georgia" w:cs="Calibri"/>
          <w:color w:val="000000"/>
          <w:sz w:val="24"/>
          <w:szCs w:val="24"/>
        </w:rPr>
      </w:pPr>
      <w:r w:rsidRPr="00CD1FF6">
        <w:rPr>
          <w:rFonts w:ascii="Georgia" w:hAnsi="Georgia" w:cs="Calibri"/>
          <w:b/>
          <w:bCs/>
          <w:color w:val="000000"/>
          <w:sz w:val="24"/>
          <w:szCs w:val="24"/>
          <w:lang w:val="en-US"/>
        </w:rPr>
        <w:t>EØS artikkel 124.</w:t>
      </w:r>
      <w:r w:rsidRPr="00CD1FF6">
        <w:rPr>
          <w:rFonts w:ascii="Georgia" w:hAnsi="Georgia" w:cs="Calibri"/>
          <w:color w:val="000000"/>
          <w:sz w:val="24"/>
          <w:szCs w:val="24"/>
          <w:lang w:val="en-US"/>
        </w:rPr>
        <w:t xml:space="preserve"> </w:t>
      </w:r>
      <w:r w:rsidRPr="00CD1FF6">
        <w:rPr>
          <w:rFonts w:ascii="Georgia" w:hAnsi="Georgia" w:cs="Calibri"/>
          <w:color w:val="000000"/>
          <w:sz w:val="24"/>
          <w:szCs w:val="24"/>
        </w:rPr>
        <w:t>«</w:t>
      </w:r>
      <w:r w:rsidR="00A10B41" w:rsidRPr="00CD1FF6">
        <w:rPr>
          <w:rFonts w:ascii="Georgia" w:hAnsi="Georgia" w:cs="Calibri"/>
          <w:i/>
          <w:iCs/>
          <w:color w:val="000000"/>
          <w:sz w:val="24"/>
          <w:szCs w:val="24"/>
        </w:rPr>
        <w:t>Avtalepartene skal gi statsborgere fra EFs medlemsstater og EFTA-statene den samme behandling som sine egne statsborgere med hensyn til adgangen til å plassere kapital i selskaper som definert i artikkel 34, med forbehold for anvendelsen av de øvrige bestemmelser i denne avtale»</w:t>
      </w:r>
      <w:r w:rsidR="00A10B41" w:rsidRPr="00CD1FF6">
        <w:rPr>
          <w:rFonts w:ascii="Georgia" w:hAnsi="Georgia" w:cs="Calibri"/>
          <w:color w:val="000000"/>
          <w:sz w:val="24"/>
          <w:szCs w:val="24"/>
        </w:rPr>
        <w:t>.</w:t>
      </w:r>
    </w:p>
    <w:p w:rsidR="00A10B41" w:rsidRPr="00CD1FF6" w:rsidRDefault="00A10B41" w:rsidP="00CD1FF6">
      <w:pPr>
        <w:pStyle w:val="ListParagraph"/>
        <w:autoSpaceDE w:val="0"/>
        <w:autoSpaceDN w:val="0"/>
        <w:adjustRightInd w:val="0"/>
        <w:spacing w:after="0" w:line="360" w:lineRule="auto"/>
        <w:rPr>
          <w:rFonts w:ascii="Georgia" w:hAnsi="Georgia" w:cs="Calibri"/>
          <w:color w:val="000000"/>
          <w:sz w:val="24"/>
          <w:szCs w:val="24"/>
        </w:rPr>
      </w:pPr>
    </w:p>
    <w:p w:rsidR="00485DB7" w:rsidRPr="00CD1FF6" w:rsidRDefault="00485DB7" w:rsidP="00CD1FF6">
      <w:pPr>
        <w:numPr>
          <w:ilvl w:val="0"/>
          <w:numId w:val="4"/>
        </w:numPr>
        <w:tabs>
          <w:tab w:val="left" w:pos="6990"/>
        </w:tabs>
        <w:spacing w:after="0" w:line="360" w:lineRule="auto"/>
        <w:rPr>
          <w:rFonts w:ascii="Georgia" w:hAnsi="Georgia"/>
          <w:sz w:val="24"/>
          <w:szCs w:val="24"/>
        </w:rPr>
      </w:pPr>
      <w:r w:rsidRPr="00CD1FF6">
        <w:rPr>
          <w:rFonts w:ascii="Georgia" w:hAnsi="Georgia" w:cs="Times New Roman"/>
          <w:b/>
          <w:color w:val="000000"/>
          <w:sz w:val="24"/>
          <w:szCs w:val="24"/>
          <w:lang w:val="en-US"/>
        </w:rPr>
        <w:t>EØS artikkel 125.</w:t>
      </w:r>
      <w:r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rPr>
        <w:t>«</w:t>
      </w:r>
      <w:r w:rsidRPr="00CD1FF6">
        <w:rPr>
          <w:rFonts w:ascii="Georgia" w:hAnsi="Georgia" w:cs="Times New Roman"/>
          <w:i/>
          <w:iCs/>
          <w:color w:val="000000"/>
          <w:sz w:val="24"/>
          <w:szCs w:val="24"/>
        </w:rPr>
        <w:t>Denne avtale skal ikke på noen måte berøre avtalepa</w:t>
      </w:r>
      <w:r w:rsidR="00A10B41" w:rsidRPr="00CD1FF6">
        <w:rPr>
          <w:rFonts w:ascii="Georgia" w:hAnsi="Georgia" w:cs="Times New Roman"/>
          <w:i/>
          <w:iCs/>
          <w:color w:val="000000"/>
          <w:sz w:val="24"/>
          <w:szCs w:val="24"/>
        </w:rPr>
        <w:t>rtenes regler om eiendomsretten</w:t>
      </w:r>
      <w:r w:rsidRPr="00CD1FF6">
        <w:rPr>
          <w:rFonts w:ascii="Georgia" w:hAnsi="Georgia" w:cs="Times New Roman"/>
          <w:i/>
          <w:iCs/>
          <w:color w:val="000000"/>
          <w:sz w:val="24"/>
          <w:szCs w:val="24"/>
        </w:rPr>
        <w:t>.</w:t>
      </w:r>
    </w:p>
    <w:p w:rsidR="00A10B41" w:rsidRPr="00CD1FF6" w:rsidRDefault="00485DB7" w:rsidP="00CD1FF6">
      <w:pPr>
        <w:pStyle w:val="ListParagraph"/>
        <w:numPr>
          <w:ilvl w:val="1"/>
          <w:numId w:val="4"/>
        </w:numPr>
        <w:tabs>
          <w:tab w:val="clear" w:pos="1440"/>
        </w:tabs>
        <w:autoSpaceDE w:val="0"/>
        <w:autoSpaceDN w:val="0"/>
        <w:adjustRightInd w:val="0"/>
        <w:spacing w:after="0" w:line="360" w:lineRule="auto"/>
        <w:ind w:left="993" w:hanging="284"/>
        <w:rPr>
          <w:rFonts w:ascii="Georgia" w:hAnsi="Georgia" w:cs="Times New Roman"/>
          <w:color w:val="000000"/>
          <w:sz w:val="24"/>
          <w:szCs w:val="24"/>
          <w:lang w:val="en-US"/>
        </w:rPr>
      </w:pPr>
      <w:r w:rsidRPr="00CD1FF6">
        <w:rPr>
          <w:rFonts w:ascii="Georgia" w:hAnsi="Georgia" w:cs="Times New Roman"/>
          <w:b/>
          <w:bCs/>
          <w:color w:val="000000"/>
          <w:sz w:val="24"/>
          <w:szCs w:val="24"/>
          <w:lang w:val="en-US"/>
        </w:rPr>
        <w:t>Advocate</w:t>
      </w:r>
      <w:r w:rsidR="00A10B41" w:rsidRPr="00CD1FF6">
        <w:rPr>
          <w:rFonts w:ascii="Georgia" w:hAnsi="Georgia" w:cs="Times New Roman"/>
          <w:b/>
          <w:bCs/>
          <w:color w:val="000000"/>
          <w:sz w:val="24"/>
          <w:szCs w:val="24"/>
          <w:lang w:val="en-US"/>
        </w:rPr>
        <w:t xml:space="preserve"> </w:t>
      </w:r>
      <w:r w:rsidRPr="00CD1FF6">
        <w:rPr>
          <w:rFonts w:ascii="Georgia" w:hAnsi="Georgia" w:cs="Times New Roman"/>
          <w:b/>
          <w:bCs/>
          <w:color w:val="000000"/>
          <w:sz w:val="24"/>
          <w:szCs w:val="24"/>
          <w:lang w:val="en-US"/>
        </w:rPr>
        <w:t>General Ruiz-Jarabo</w:t>
      </w:r>
      <w:r w:rsidR="00A10B41" w:rsidRPr="00CD1FF6">
        <w:rPr>
          <w:rFonts w:ascii="Georgia" w:hAnsi="Georgia" w:cs="Times New Roman"/>
          <w:b/>
          <w:bCs/>
          <w:color w:val="000000"/>
          <w:sz w:val="24"/>
          <w:szCs w:val="24"/>
          <w:lang w:val="en-US"/>
        </w:rPr>
        <w:t xml:space="preserve"> </w:t>
      </w:r>
      <w:r w:rsidRPr="00CD1FF6">
        <w:rPr>
          <w:rFonts w:ascii="Georgia" w:hAnsi="Georgia" w:cs="Times New Roman"/>
          <w:b/>
          <w:bCs/>
          <w:color w:val="000000"/>
          <w:sz w:val="24"/>
          <w:szCs w:val="24"/>
          <w:lang w:val="en-US"/>
        </w:rPr>
        <w:t>Colomer:</w:t>
      </w:r>
      <w:r w:rsidRPr="00CD1FF6">
        <w:rPr>
          <w:rFonts w:ascii="Georgia" w:hAnsi="Georgia" w:cs="Times New Roman"/>
          <w:color w:val="000000"/>
          <w:sz w:val="24"/>
          <w:szCs w:val="24"/>
          <w:lang w:val="en-US"/>
        </w:rPr>
        <w:t>EU-court«appear</w:t>
      </w:r>
      <w:r w:rsidR="00A10B41"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to render devoid</w:t>
      </w:r>
      <w:r w:rsidR="00A10B41"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of all practical</w:t>
      </w:r>
      <w:r w:rsidR="003F4C66"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effect</w:t>
      </w:r>
      <w:r w:rsidR="003F4C66"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Article</w:t>
      </w:r>
      <w:r w:rsidR="003F4C66" w:rsidRPr="00CD1FF6">
        <w:rPr>
          <w:rFonts w:ascii="Georgia" w:hAnsi="Georgia" w:cs="Times New Roman"/>
          <w:color w:val="000000"/>
          <w:sz w:val="24"/>
          <w:szCs w:val="24"/>
          <w:lang w:val="en-US"/>
        </w:rPr>
        <w:t xml:space="preserve"> </w:t>
      </w:r>
      <w:r w:rsidRPr="00CD1FF6">
        <w:rPr>
          <w:rFonts w:ascii="Georgia" w:hAnsi="Georgia" w:cs="Times New Roman"/>
          <w:color w:val="000000"/>
          <w:sz w:val="24"/>
          <w:szCs w:val="24"/>
          <w:lang w:val="en-US"/>
        </w:rPr>
        <w:t>345 EC». (Opinion 6. February2003. Sak C-463/00og C-98/01, ECR [2003] I-4581 section37).</w:t>
      </w:r>
    </w:p>
    <w:p w:rsidR="00A10B41" w:rsidRPr="00CD1FF6" w:rsidRDefault="00485DB7" w:rsidP="00CD1FF6">
      <w:pPr>
        <w:pStyle w:val="ListParagraph"/>
        <w:numPr>
          <w:ilvl w:val="1"/>
          <w:numId w:val="4"/>
        </w:numPr>
        <w:tabs>
          <w:tab w:val="clear" w:pos="1440"/>
        </w:tabs>
        <w:autoSpaceDE w:val="0"/>
        <w:autoSpaceDN w:val="0"/>
        <w:adjustRightInd w:val="0"/>
        <w:spacing w:after="0" w:line="360" w:lineRule="auto"/>
        <w:ind w:left="993" w:hanging="284"/>
        <w:rPr>
          <w:rFonts w:ascii="Georgia" w:hAnsi="Georgia" w:cs="Times New Roman"/>
          <w:color w:val="000000"/>
          <w:sz w:val="24"/>
          <w:szCs w:val="24"/>
          <w:lang w:val="en-US"/>
        </w:rPr>
      </w:pPr>
      <w:r w:rsidRPr="00CD1FF6">
        <w:rPr>
          <w:rFonts w:ascii="Georgia" w:hAnsi="Georgia" w:cs="Times New Roman"/>
          <w:b/>
          <w:bCs/>
          <w:color w:val="000000"/>
          <w:sz w:val="24"/>
          <w:szCs w:val="24"/>
          <w:lang w:val="en-US"/>
        </w:rPr>
        <w:t xml:space="preserve">JUDGMENT OF THE EFTA COURT, 26 June 2007, Case E-2/06: </w:t>
      </w:r>
      <w:r w:rsidRPr="00CD1FF6">
        <w:rPr>
          <w:rFonts w:ascii="Georgia" w:hAnsi="Georgia" w:cs="Times New Roman"/>
          <w:color w:val="000000"/>
          <w:sz w:val="24"/>
          <w:szCs w:val="24"/>
          <w:lang w:val="en-US"/>
        </w:rPr>
        <w:t>«That article [295] does not have the effect of exempting the Member States' systems of property ownership from the fundamental rules of the Treaty»</w:t>
      </w:r>
    </w:p>
    <w:p w:rsidR="00000000" w:rsidRPr="00CD1FF6" w:rsidRDefault="00A90278" w:rsidP="00CD1FF6">
      <w:pPr>
        <w:pStyle w:val="ListParagraph"/>
        <w:numPr>
          <w:ilvl w:val="1"/>
          <w:numId w:val="4"/>
        </w:numPr>
        <w:tabs>
          <w:tab w:val="clear" w:pos="1440"/>
        </w:tabs>
        <w:autoSpaceDE w:val="0"/>
        <w:autoSpaceDN w:val="0"/>
        <w:adjustRightInd w:val="0"/>
        <w:spacing w:after="0" w:line="360" w:lineRule="auto"/>
        <w:ind w:left="993" w:hanging="284"/>
        <w:rPr>
          <w:rFonts w:ascii="Georgia" w:hAnsi="Georgia" w:cs="Times New Roman"/>
          <w:color w:val="000000"/>
          <w:sz w:val="24"/>
          <w:szCs w:val="24"/>
          <w:lang w:val="en-US"/>
        </w:rPr>
      </w:pPr>
      <w:r w:rsidRPr="00CD1FF6">
        <w:rPr>
          <w:rFonts w:ascii="Georgia" w:hAnsi="Georgia" w:cs="Times New Roman"/>
          <w:b/>
          <w:bCs/>
          <w:color w:val="000000"/>
          <w:sz w:val="24"/>
          <w:szCs w:val="24"/>
          <w:lang w:val="en-US"/>
        </w:rPr>
        <w:t>JUDGMENT OF THE EFTA C</w:t>
      </w:r>
      <w:r w:rsidR="003F4C66" w:rsidRPr="00CD1FF6">
        <w:rPr>
          <w:rFonts w:ascii="Georgia" w:hAnsi="Georgia" w:cs="Times New Roman"/>
          <w:b/>
          <w:bCs/>
          <w:color w:val="000000"/>
          <w:sz w:val="24"/>
          <w:szCs w:val="24"/>
          <w:lang w:val="en-US"/>
        </w:rPr>
        <w:t xml:space="preserve">OURT, 26 June 2007, Case E-2/06. </w:t>
      </w:r>
      <w:r w:rsidRPr="00CD1FF6">
        <w:rPr>
          <w:rFonts w:ascii="Georgia" w:hAnsi="Georgia" w:cs="Times New Roman"/>
          <w:color w:val="000000"/>
          <w:sz w:val="24"/>
          <w:szCs w:val="24"/>
          <w:lang w:val="en-US"/>
        </w:rPr>
        <w:t>“It f</w:t>
      </w:r>
      <w:r w:rsidRPr="00CD1FF6">
        <w:rPr>
          <w:rFonts w:ascii="Georgia" w:hAnsi="Georgia" w:cs="Times New Roman"/>
          <w:color w:val="000000"/>
          <w:sz w:val="24"/>
          <w:szCs w:val="24"/>
          <w:lang w:val="en-US"/>
        </w:rPr>
        <w:t xml:space="preserve">ollows from the case law of the ECJ on Article 295 EC that Article 125 EEA is to be interpreted to the effect that, although the system of property ownership is a matter for each EEA State to decide, the said provision </w:t>
      </w:r>
      <w:r w:rsidRPr="00CD1FF6">
        <w:rPr>
          <w:rFonts w:ascii="Georgia" w:hAnsi="Georgia" w:cs="Times New Roman"/>
          <w:b/>
          <w:bCs/>
          <w:color w:val="000000"/>
          <w:sz w:val="24"/>
          <w:szCs w:val="24"/>
          <w:lang w:val="en-US"/>
        </w:rPr>
        <w:t>does not have the effect of exempting measures establishing such a system from the fundamental rules of the EEA Agreement</w:t>
      </w:r>
      <w:r w:rsidRPr="00CD1FF6">
        <w:rPr>
          <w:rFonts w:ascii="Georgia" w:hAnsi="Georgia" w:cs="Times New Roman"/>
          <w:color w:val="000000"/>
          <w:sz w:val="24"/>
          <w:szCs w:val="24"/>
          <w:lang w:val="en-US"/>
        </w:rPr>
        <w:t>, including the rules on free movement of c</w:t>
      </w:r>
      <w:r w:rsidRPr="00CD1FF6">
        <w:rPr>
          <w:rFonts w:ascii="Georgia" w:hAnsi="Georgia" w:cs="Times New Roman"/>
          <w:color w:val="000000"/>
          <w:sz w:val="24"/>
          <w:szCs w:val="24"/>
          <w:lang w:val="en-US"/>
        </w:rPr>
        <w:t>apital and freedom of establishment …  In light of the above, the Defendant's submission that the contested rules do not fall within the scope of the EEA Agreement must be rejected” (section  62-63).</w:t>
      </w:r>
    </w:p>
    <w:p w:rsidR="00000000" w:rsidRPr="00CD1FF6" w:rsidRDefault="00A90278" w:rsidP="00CD1FF6">
      <w:pPr>
        <w:pStyle w:val="ListParagraph"/>
        <w:numPr>
          <w:ilvl w:val="1"/>
          <w:numId w:val="4"/>
        </w:numPr>
        <w:tabs>
          <w:tab w:val="clear" w:pos="1440"/>
        </w:tabs>
        <w:autoSpaceDE w:val="0"/>
        <w:autoSpaceDN w:val="0"/>
        <w:adjustRightInd w:val="0"/>
        <w:spacing w:after="0" w:line="360" w:lineRule="auto"/>
        <w:ind w:left="993" w:hanging="284"/>
        <w:rPr>
          <w:rFonts w:ascii="Georgia" w:hAnsi="Georgia" w:cs="Times New Roman"/>
          <w:color w:val="000000"/>
          <w:sz w:val="24"/>
          <w:szCs w:val="24"/>
          <w:lang w:val="en-US"/>
        </w:rPr>
      </w:pPr>
      <w:r w:rsidRPr="00CD1FF6">
        <w:rPr>
          <w:rFonts w:ascii="Georgia" w:hAnsi="Georgia" w:cs="Times New Roman"/>
          <w:color w:val="000000"/>
          <w:sz w:val="24"/>
          <w:szCs w:val="24"/>
          <w:lang w:val="en-US"/>
        </w:rPr>
        <w:t xml:space="preserve">«The Court holds that Article 125 EEA is to be interpreted to the effect that an EEA State's right to decide whether hydropower resources and related installations are in private or public ownership is, as such, </w:t>
      </w:r>
      <w:r w:rsidRPr="00CD1FF6">
        <w:rPr>
          <w:rFonts w:ascii="Georgia" w:hAnsi="Georgia" w:cs="Times New Roman"/>
          <w:b/>
          <w:bCs/>
          <w:color w:val="000000"/>
          <w:sz w:val="24"/>
          <w:szCs w:val="24"/>
          <w:lang w:val="en-US"/>
        </w:rPr>
        <w:t xml:space="preserve">not affected by the EEA Agreement. </w:t>
      </w:r>
      <w:r w:rsidRPr="00CD1FF6">
        <w:rPr>
          <w:rFonts w:ascii="Georgia" w:hAnsi="Georgia" w:cs="Times New Roman"/>
          <w:color w:val="000000"/>
          <w:sz w:val="24"/>
          <w:szCs w:val="24"/>
          <w:lang w:val="en-US"/>
        </w:rPr>
        <w:t>The corollary of this is that Norway may legitimately pursue the objective of establishing a system of public ownership over the</w:t>
      </w:r>
      <w:r w:rsidRPr="00CD1FF6">
        <w:rPr>
          <w:rFonts w:ascii="Georgia" w:hAnsi="Georgia" w:cs="Times New Roman"/>
          <w:color w:val="000000"/>
          <w:sz w:val="24"/>
          <w:szCs w:val="24"/>
          <w:lang w:val="en-US"/>
        </w:rPr>
        <w:t>se properties, provided that the objective is pursued in a non-discriminatory and proportionate manner» (section 72).</w:t>
      </w:r>
    </w:p>
    <w:p w:rsidR="00485DB7" w:rsidRPr="00CD1FF6" w:rsidRDefault="00485DB7" w:rsidP="00CD1FF6">
      <w:pPr>
        <w:pStyle w:val="ListParagraph"/>
        <w:autoSpaceDE w:val="0"/>
        <w:autoSpaceDN w:val="0"/>
        <w:adjustRightInd w:val="0"/>
        <w:spacing w:after="0" w:line="360" w:lineRule="auto"/>
        <w:ind w:left="1440"/>
        <w:rPr>
          <w:rFonts w:ascii="Georgia" w:hAnsi="Georgia" w:cs="Times New Roman"/>
          <w:color w:val="000000"/>
          <w:sz w:val="24"/>
          <w:szCs w:val="24"/>
          <w:lang w:val="en-US"/>
        </w:rPr>
      </w:pPr>
    </w:p>
    <w:p w:rsidR="00306494" w:rsidRPr="00CD1FF6" w:rsidRDefault="00FC0064" w:rsidP="00CD1FF6">
      <w:pPr>
        <w:tabs>
          <w:tab w:val="left" w:pos="6990"/>
        </w:tabs>
        <w:spacing w:after="0" w:line="360" w:lineRule="auto"/>
        <w:rPr>
          <w:rFonts w:ascii="Georgia" w:hAnsi="Georgia"/>
          <w:sz w:val="24"/>
          <w:szCs w:val="24"/>
        </w:rPr>
      </w:pPr>
      <w:r w:rsidRPr="00CD1FF6">
        <w:rPr>
          <w:rFonts w:ascii="Georgia" w:hAnsi="Georgia"/>
          <w:sz w:val="24"/>
          <w:szCs w:val="24"/>
        </w:rPr>
        <w:t xml:space="preserve">Hva som er disse reglers </w:t>
      </w:r>
      <w:r w:rsidR="00CD1FF6" w:rsidRPr="00CD1FF6">
        <w:rPr>
          <w:rFonts w:ascii="Georgia" w:hAnsi="Georgia"/>
          <w:sz w:val="24"/>
          <w:szCs w:val="24"/>
        </w:rPr>
        <w:t xml:space="preserve">innhold </w:t>
      </w:r>
      <w:r w:rsidRPr="00CD1FF6">
        <w:rPr>
          <w:rFonts w:ascii="Georgia" w:hAnsi="Georgia"/>
          <w:sz w:val="24"/>
          <w:szCs w:val="24"/>
        </w:rPr>
        <w:t>er usikkert fordi det baserer seg på EFTA-domstolens anvendelse av domstolskapt rett i EU – under EU-domstolen. Denne definisjonsmakt ligger langt utenfor EØS-landenes innflytelse. Hva som til syvende og sist blir resultatet av Energiunionen er det kun EU som kjenner. Island, Norge og Liechtensten er med på lasset, okke som.</w:t>
      </w:r>
      <w:r w:rsidR="00CD1FF6">
        <w:rPr>
          <w:rFonts w:ascii="Georgia" w:hAnsi="Georgia"/>
          <w:sz w:val="24"/>
          <w:szCs w:val="24"/>
        </w:rPr>
        <w:t xml:space="preserve"> </w:t>
      </w:r>
      <w:r w:rsidR="00A10B41" w:rsidRPr="00CD1FF6">
        <w:rPr>
          <w:rFonts w:ascii="Georgia" w:hAnsi="Georgia"/>
          <w:sz w:val="24"/>
          <w:szCs w:val="24"/>
        </w:rPr>
        <w:t>Som Generaladvokat Colomer sa det: EØS artikkel 125 er i realiteten utradert fordi denne ikke avgrenser EØS-avtalen mot eiendomsrettslige forhold nasjonalt</w:t>
      </w:r>
      <w:r w:rsidR="000F5489" w:rsidRPr="00CD1FF6">
        <w:rPr>
          <w:rFonts w:ascii="Georgia" w:hAnsi="Georgia"/>
          <w:sz w:val="24"/>
          <w:szCs w:val="24"/>
        </w:rPr>
        <w:t xml:space="preserve">. Det eneste som gjenstår av artikkelen er retten for et medlemsland å nasjonalisere alle energiressurser. </w:t>
      </w:r>
      <w:r w:rsidR="003F4C66" w:rsidRPr="00CD1FF6">
        <w:rPr>
          <w:rFonts w:ascii="Georgia" w:hAnsi="Georgia"/>
          <w:sz w:val="24"/>
          <w:szCs w:val="24"/>
        </w:rPr>
        <w:t xml:space="preserve">Det er kun på denne måten at Island kan </w:t>
      </w:r>
      <w:r w:rsidR="000F5489" w:rsidRPr="00CD1FF6">
        <w:rPr>
          <w:rFonts w:ascii="Georgia" w:hAnsi="Georgia"/>
          <w:sz w:val="24"/>
          <w:szCs w:val="24"/>
        </w:rPr>
        <w:t>komme seg utenfor EØS</w:t>
      </w:r>
      <w:r w:rsidR="003F4C66" w:rsidRPr="00CD1FF6">
        <w:rPr>
          <w:rFonts w:ascii="Georgia" w:hAnsi="Georgia"/>
          <w:sz w:val="24"/>
          <w:szCs w:val="24"/>
        </w:rPr>
        <w:t>-avtalens mange prinsipper for fremme av markedsliberalismen</w:t>
      </w:r>
      <w:r w:rsidR="000F5489" w:rsidRPr="00CD1FF6">
        <w:rPr>
          <w:rFonts w:ascii="Georgia" w:hAnsi="Georgia"/>
          <w:sz w:val="24"/>
          <w:szCs w:val="24"/>
        </w:rPr>
        <w:t>.</w:t>
      </w:r>
    </w:p>
    <w:p w:rsidR="00485DB7" w:rsidRPr="00CD1FF6" w:rsidRDefault="00485DB7" w:rsidP="00CD1FF6">
      <w:pPr>
        <w:tabs>
          <w:tab w:val="left" w:pos="6990"/>
        </w:tabs>
        <w:spacing w:after="0" w:line="360" w:lineRule="auto"/>
        <w:rPr>
          <w:rFonts w:ascii="Georgia" w:hAnsi="Georgia"/>
          <w:sz w:val="24"/>
          <w:szCs w:val="24"/>
        </w:rPr>
      </w:pPr>
    </w:p>
    <w:p w:rsidR="00FC0064" w:rsidRPr="00CD1FF6" w:rsidRDefault="00FC0064" w:rsidP="00CD1FF6">
      <w:pPr>
        <w:tabs>
          <w:tab w:val="left" w:pos="6990"/>
        </w:tabs>
        <w:spacing w:after="0" w:line="360" w:lineRule="auto"/>
        <w:jc w:val="center"/>
        <w:rPr>
          <w:rFonts w:ascii="Georgia" w:hAnsi="Georgia"/>
          <w:b/>
          <w:sz w:val="24"/>
          <w:szCs w:val="24"/>
        </w:rPr>
      </w:pPr>
      <w:r w:rsidRPr="00CD1FF6">
        <w:rPr>
          <w:rFonts w:ascii="Georgia" w:hAnsi="Georgia"/>
          <w:b/>
          <w:sz w:val="24"/>
          <w:szCs w:val="24"/>
        </w:rPr>
        <w:lastRenderedPageBreak/>
        <w:t>II.</w:t>
      </w:r>
    </w:p>
    <w:p w:rsidR="00306494" w:rsidRDefault="000F5489" w:rsidP="00CD1FF6">
      <w:pPr>
        <w:tabs>
          <w:tab w:val="left" w:pos="6990"/>
        </w:tabs>
        <w:spacing w:after="0" w:line="360" w:lineRule="auto"/>
        <w:rPr>
          <w:rFonts w:ascii="Georgia" w:hAnsi="Georgia"/>
          <w:sz w:val="24"/>
          <w:szCs w:val="24"/>
        </w:rPr>
      </w:pPr>
      <w:r w:rsidRPr="00CD1FF6">
        <w:rPr>
          <w:rFonts w:ascii="Georgia" w:hAnsi="Georgia"/>
          <w:sz w:val="24"/>
          <w:szCs w:val="24"/>
        </w:rPr>
        <w:t xml:space="preserve">Ser vi på de politiske vedtaksprosesser ser vi at </w:t>
      </w:r>
      <w:r w:rsidR="004D5DA4" w:rsidRPr="00CD1FF6">
        <w:rPr>
          <w:rFonts w:ascii="Georgia" w:hAnsi="Georgia"/>
          <w:sz w:val="24"/>
          <w:szCs w:val="24"/>
        </w:rPr>
        <w:t>EØS-EU forholdet som fram til Energipakke III var basert på frivillig tilslutning ble som følge av 2009 forordningene rettslige bindende</w:t>
      </w:r>
      <w:r w:rsidR="004E47E7" w:rsidRPr="00CD1FF6">
        <w:rPr>
          <w:rFonts w:ascii="Georgia" w:hAnsi="Georgia"/>
          <w:sz w:val="24"/>
          <w:szCs w:val="24"/>
        </w:rPr>
        <w:t>. Hovedprinsippene kan oppsummeres slik</w:t>
      </w:r>
      <w:r w:rsidR="004D5DA4" w:rsidRPr="00CD1FF6">
        <w:rPr>
          <w:rFonts w:ascii="Georgia" w:hAnsi="Georgia"/>
          <w:sz w:val="24"/>
          <w:szCs w:val="24"/>
        </w:rPr>
        <w:t xml:space="preserve">: </w:t>
      </w:r>
    </w:p>
    <w:p w:rsidR="00CD1FF6" w:rsidRPr="00CD1FF6" w:rsidRDefault="00CD1FF6" w:rsidP="00CD1FF6">
      <w:pPr>
        <w:tabs>
          <w:tab w:val="left" w:pos="6990"/>
        </w:tabs>
        <w:spacing w:after="0" w:line="360" w:lineRule="auto"/>
        <w:rPr>
          <w:rFonts w:ascii="Georgia" w:hAnsi="Georgia"/>
          <w:sz w:val="24"/>
          <w:szCs w:val="24"/>
        </w:rPr>
      </w:pPr>
    </w:p>
    <w:p w:rsidR="00000000" w:rsidRPr="00CD1FF6" w:rsidRDefault="00A90278" w:rsidP="00CD1FF6">
      <w:pPr>
        <w:numPr>
          <w:ilvl w:val="0"/>
          <w:numId w:val="6"/>
        </w:numPr>
        <w:tabs>
          <w:tab w:val="left" w:pos="6990"/>
        </w:tabs>
        <w:spacing w:after="0" w:line="360" w:lineRule="auto"/>
        <w:rPr>
          <w:rFonts w:ascii="Georgia" w:hAnsi="Georgia"/>
          <w:sz w:val="24"/>
          <w:szCs w:val="24"/>
        </w:rPr>
      </w:pPr>
      <w:r w:rsidRPr="00CD1FF6">
        <w:rPr>
          <w:rFonts w:ascii="Georgia" w:hAnsi="Georgia"/>
          <w:sz w:val="24"/>
          <w:szCs w:val="24"/>
        </w:rPr>
        <w:t>Ordningen som siden 2003 var av</w:t>
      </w:r>
      <w:r w:rsidRPr="00CD1FF6">
        <w:rPr>
          <w:rFonts w:ascii="Georgia" w:hAnsi="Georgia"/>
          <w:sz w:val="24"/>
          <w:szCs w:val="24"/>
        </w:rPr>
        <w:t xml:space="preserve"> frivillig art</w:t>
      </w:r>
      <w:r w:rsidR="00670ED7" w:rsidRPr="00CD1FF6">
        <w:rPr>
          <w:rFonts w:ascii="Georgia" w:hAnsi="Georgia"/>
          <w:sz w:val="24"/>
          <w:szCs w:val="24"/>
        </w:rPr>
        <w:t xml:space="preserve"> (</w:t>
      </w:r>
      <w:r w:rsidR="00670ED7" w:rsidRPr="00CD1FF6">
        <w:rPr>
          <w:rFonts w:ascii="Georgia" w:hAnsi="Georgia"/>
          <w:i/>
          <w:iCs/>
          <w:sz w:val="24"/>
          <w:szCs w:val="24"/>
          <w:lang w:val="da-DK"/>
        </w:rPr>
        <w:t>Europa-parlamentets og Rådets direktiv 2003/54/EF af 26. juni 2003 om fælles regler for det indre marked for elektricitet.</w:t>
      </w:r>
      <w:r w:rsidR="00670ED7" w:rsidRPr="00CD1FF6">
        <w:rPr>
          <w:rFonts w:ascii="Georgia" w:hAnsi="Georgia"/>
          <w:sz w:val="24"/>
          <w:szCs w:val="24"/>
        </w:rPr>
        <w:t>)</w:t>
      </w:r>
      <w:r w:rsidR="00670ED7" w:rsidRPr="00CD1FF6">
        <w:rPr>
          <w:rFonts w:ascii="Georgia" w:hAnsi="Georgia"/>
          <w:sz w:val="24"/>
          <w:szCs w:val="24"/>
        </w:rPr>
        <w:t xml:space="preserve"> </w:t>
      </w:r>
      <w:r w:rsidRPr="00CD1FF6">
        <w:rPr>
          <w:rFonts w:ascii="Georgia" w:hAnsi="Georgia"/>
          <w:sz w:val="24"/>
          <w:szCs w:val="24"/>
        </w:rPr>
        <w:t xml:space="preserve">gikk gjennom etableringen av ACER over i en fase med bindende vedtak iht. </w:t>
      </w:r>
      <w:r w:rsidRPr="00CD1FF6">
        <w:rPr>
          <w:rFonts w:ascii="Georgia" w:hAnsi="Georgia"/>
          <w:sz w:val="24"/>
          <w:szCs w:val="24"/>
          <w:lang w:val="da-DK"/>
        </w:rPr>
        <w:t>EUs alminnelige regler om kvalifisert flertall:</w:t>
      </w:r>
    </w:p>
    <w:p w:rsidR="00000000" w:rsidRPr="00CD1FF6" w:rsidRDefault="00A90278" w:rsidP="00CD1FF6">
      <w:pPr>
        <w:tabs>
          <w:tab w:val="left" w:pos="6990"/>
        </w:tabs>
        <w:spacing w:after="0" w:line="360" w:lineRule="auto"/>
        <w:ind w:left="720"/>
        <w:rPr>
          <w:rFonts w:ascii="Georgia" w:hAnsi="Georgia"/>
          <w:sz w:val="24"/>
          <w:szCs w:val="24"/>
        </w:rPr>
      </w:pPr>
      <w:r w:rsidRPr="00CD1FF6">
        <w:rPr>
          <w:rFonts w:ascii="Georgia" w:hAnsi="Georgia"/>
          <w:i/>
          <w:sz w:val="24"/>
          <w:szCs w:val="24"/>
          <w:lang w:val="da-DK"/>
        </w:rPr>
        <w:t>«Det er imidlertid et udbredt ønske i sektoren, og i øvrigt foreslå</w:t>
      </w:r>
      <w:r w:rsidRPr="00CD1FF6">
        <w:rPr>
          <w:rFonts w:ascii="Georgia" w:hAnsi="Georgia"/>
          <w:i/>
          <w:sz w:val="24"/>
          <w:szCs w:val="24"/>
          <w:lang w:val="de-DE"/>
        </w:rPr>
        <w:t>et af ERGEG [Gruppen af Europ</w:t>
      </w:r>
      <w:r w:rsidRPr="00CD1FF6">
        <w:rPr>
          <w:rFonts w:ascii="Georgia" w:hAnsi="Georgia"/>
          <w:i/>
          <w:sz w:val="24"/>
          <w:szCs w:val="24"/>
          <w:lang w:val="da-DK"/>
        </w:rPr>
        <w:t>æiske Tilsynsmyndigheder for Elektricitet og Gas] selv, at det frivillige samarbejde mellem de nationale regulerende myndighed</w:t>
      </w:r>
      <w:r w:rsidRPr="00CD1FF6">
        <w:rPr>
          <w:rFonts w:ascii="Georgia" w:hAnsi="Georgia"/>
          <w:i/>
          <w:sz w:val="24"/>
          <w:szCs w:val="24"/>
          <w:lang w:val="da-DK"/>
        </w:rPr>
        <w:t xml:space="preserve">er nu bør foregå inden for en fællesskabsstruktur med klare beføjelser og </w:t>
      </w:r>
      <w:r w:rsidRPr="00CD1FF6">
        <w:rPr>
          <w:rFonts w:ascii="Georgia" w:hAnsi="Georgia"/>
          <w:b/>
          <w:bCs/>
          <w:i/>
          <w:sz w:val="24"/>
          <w:szCs w:val="24"/>
          <w:lang w:val="da-DK"/>
        </w:rPr>
        <w:t xml:space="preserve">myndighed til at vedtage individuelle reguleringsbeslutninger </w:t>
      </w:r>
      <w:r w:rsidRPr="00CD1FF6">
        <w:rPr>
          <w:rFonts w:ascii="Georgia" w:hAnsi="Georgia"/>
          <w:i/>
          <w:sz w:val="24"/>
          <w:szCs w:val="24"/>
          <w:lang w:val="da-DK"/>
        </w:rPr>
        <w:t>i en række specifikke tilfæ</w:t>
      </w:r>
      <w:r w:rsidRPr="00CD1FF6">
        <w:rPr>
          <w:rFonts w:ascii="Georgia" w:hAnsi="Georgia"/>
          <w:i/>
          <w:sz w:val="24"/>
          <w:szCs w:val="24"/>
          <w:lang w:val="de-DE"/>
        </w:rPr>
        <w:t>lde</w:t>
      </w:r>
      <w:r w:rsidRPr="00CD1FF6">
        <w:rPr>
          <w:rFonts w:ascii="Georgia" w:hAnsi="Georgia"/>
          <w:i/>
          <w:sz w:val="24"/>
          <w:szCs w:val="24"/>
          <w:lang w:val="it-IT"/>
        </w:rPr>
        <w:t>»</w:t>
      </w:r>
      <w:r w:rsidR="00670ED7" w:rsidRPr="00CD1FF6">
        <w:rPr>
          <w:rFonts w:ascii="Georgia" w:hAnsi="Georgia"/>
          <w:sz w:val="24"/>
          <w:szCs w:val="24"/>
          <w:lang w:val="da-DK"/>
        </w:rPr>
        <w:t xml:space="preserve"> </w:t>
      </w:r>
      <w:r w:rsidR="004D5DA4" w:rsidRPr="00CD1FF6">
        <w:rPr>
          <w:rFonts w:ascii="Georgia" w:hAnsi="Georgia"/>
          <w:sz w:val="24"/>
          <w:szCs w:val="24"/>
          <w:lang w:val="da-DK"/>
        </w:rPr>
        <w:t>(</w:t>
      </w:r>
      <w:r w:rsidRPr="00CD1FF6">
        <w:rPr>
          <w:rFonts w:ascii="Georgia" w:hAnsi="Georgia"/>
          <w:sz w:val="24"/>
          <w:szCs w:val="24"/>
          <w:lang w:val="da-DK"/>
        </w:rPr>
        <w:t>EU-forordning (EF) 713/2009 fortalen pkt. 3</w:t>
      </w:r>
      <w:r w:rsidR="004D5DA4" w:rsidRPr="00CD1FF6">
        <w:rPr>
          <w:rFonts w:ascii="Georgia" w:hAnsi="Georgia"/>
          <w:sz w:val="24"/>
          <w:szCs w:val="24"/>
          <w:lang w:val="da-DK"/>
        </w:rPr>
        <w:t>)</w:t>
      </w:r>
      <w:r w:rsidRPr="00CD1FF6">
        <w:rPr>
          <w:rFonts w:ascii="Georgia" w:hAnsi="Georgia"/>
          <w:sz w:val="24"/>
          <w:szCs w:val="24"/>
          <w:lang w:val="da-DK"/>
        </w:rPr>
        <w:t>.</w:t>
      </w:r>
    </w:p>
    <w:p w:rsidR="00CD1FF6" w:rsidRPr="00CD1FF6" w:rsidRDefault="00CD1FF6" w:rsidP="00CD1FF6">
      <w:pPr>
        <w:tabs>
          <w:tab w:val="left" w:pos="6990"/>
        </w:tabs>
        <w:spacing w:after="0" w:line="360" w:lineRule="auto"/>
        <w:ind w:left="720"/>
        <w:rPr>
          <w:rFonts w:ascii="Georgia" w:hAnsi="Georgia"/>
          <w:sz w:val="24"/>
          <w:szCs w:val="24"/>
        </w:rPr>
      </w:pPr>
    </w:p>
    <w:p w:rsidR="00000000" w:rsidRDefault="00A90278" w:rsidP="00CD1FF6">
      <w:pPr>
        <w:numPr>
          <w:ilvl w:val="0"/>
          <w:numId w:val="6"/>
        </w:numPr>
        <w:tabs>
          <w:tab w:val="left" w:pos="6990"/>
        </w:tabs>
        <w:spacing w:after="0" w:line="360" w:lineRule="auto"/>
        <w:rPr>
          <w:rFonts w:ascii="Georgia" w:hAnsi="Georgia"/>
          <w:sz w:val="24"/>
          <w:szCs w:val="24"/>
        </w:rPr>
      </w:pPr>
      <w:r w:rsidRPr="00CD1FF6">
        <w:rPr>
          <w:rFonts w:ascii="Georgia" w:hAnsi="Georgia"/>
          <w:sz w:val="24"/>
          <w:szCs w:val="24"/>
          <w:lang w:val="da-DK"/>
        </w:rPr>
        <w:t xml:space="preserve">Målet med reguleringene er å oppfylle </w:t>
      </w:r>
      <w:r w:rsidRPr="00CD1FF6">
        <w:rPr>
          <w:rFonts w:ascii="Georgia" w:hAnsi="Georgia"/>
          <w:i/>
          <w:sz w:val="24"/>
          <w:szCs w:val="24"/>
          <w:lang w:val="da-DK"/>
        </w:rPr>
        <w:t>«målsætningerne for den europæiske energipolitik</w:t>
      </w:r>
      <w:r w:rsidRPr="00CD1FF6">
        <w:rPr>
          <w:rFonts w:ascii="Georgia" w:hAnsi="Georgia"/>
          <w:i/>
          <w:sz w:val="24"/>
          <w:szCs w:val="24"/>
          <w:lang w:val="it-IT"/>
        </w:rPr>
        <w:t>»</w:t>
      </w:r>
      <w:r w:rsidRPr="00CD1FF6">
        <w:rPr>
          <w:rFonts w:ascii="Georgia" w:hAnsi="Georgia"/>
          <w:sz w:val="24"/>
          <w:szCs w:val="24"/>
          <w:lang w:val="da-DK"/>
        </w:rPr>
        <w:t xml:space="preserve">. For å oppnå </w:t>
      </w:r>
      <w:r w:rsidRPr="00CD1FF6">
        <w:rPr>
          <w:rFonts w:ascii="Georgia" w:hAnsi="Georgia"/>
          <w:sz w:val="24"/>
          <w:szCs w:val="24"/>
          <w:lang w:val="pt-PT"/>
        </w:rPr>
        <w:t>disse m</w:t>
      </w:r>
      <w:r w:rsidRPr="00CD1FF6">
        <w:rPr>
          <w:rFonts w:ascii="Georgia" w:hAnsi="Georgia"/>
          <w:sz w:val="24"/>
          <w:szCs w:val="24"/>
          <w:lang w:val="da-DK"/>
        </w:rPr>
        <w:t>å</w:t>
      </w:r>
      <w:r w:rsidRPr="00CD1FF6">
        <w:rPr>
          <w:rFonts w:ascii="Georgia" w:hAnsi="Georgia"/>
          <w:sz w:val="24"/>
          <w:szCs w:val="24"/>
          <w:lang w:val="it-IT"/>
        </w:rPr>
        <w:t>l p</w:t>
      </w:r>
      <w:r w:rsidRPr="00CD1FF6">
        <w:rPr>
          <w:rFonts w:ascii="Georgia" w:hAnsi="Georgia"/>
          <w:sz w:val="24"/>
          <w:szCs w:val="24"/>
          <w:lang w:val="da-DK"/>
        </w:rPr>
        <w:t>åpekes det at EU må sørge for å «fjerne hindringerne for handel på tværs af grænserne med elektricitet og naturgas</w:t>
      </w:r>
      <w:r w:rsidRPr="00CD1FF6">
        <w:rPr>
          <w:rFonts w:ascii="Georgia" w:hAnsi="Georgia"/>
          <w:sz w:val="24"/>
          <w:szCs w:val="24"/>
          <w:lang w:val="it-IT"/>
        </w:rPr>
        <w:t>»</w:t>
      </w:r>
      <w:r w:rsidRPr="00CD1FF6">
        <w:rPr>
          <w:rFonts w:ascii="Georgia" w:hAnsi="Georgia"/>
          <w:sz w:val="24"/>
          <w:szCs w:val="24"/>
          <w:lang w:val="da-DK"/>
        </w:rPr>
        <w:t xml:space="preserve">. </w:t>
      </w:r>
      <w:r w:rsidRPr="00CD1FF6">
        <w:rPr>
          <w:rFonts w:ascii="Georgia" w:hAnsi="Georgia"/>
          <w:b/>
          <w:bCs/>
          <w:sz w:val="24"/>
          <w:szCs w:val="24"/>
        </w:rPr>
        <w:t>ACER skal videre sørge «for at utfylde hullerne</w:t>
      </w:r>
      <w:r w:rsidRPr="00CD1FF6">
        <w:rPr>
          <w:rFonts w:ascii="Georgia" w:hAnsi="Georgia"/>
          <w:b/>
          <w:bCs/>
          <w:sz w:val="24"/>
          <w:szCs w:val="24"/>
        </w:rPr>
        <w:t xml:space="preserve"> i lovgivningen på fælleskabsplan</w:t>
      </w:r>
      <w:r w:rsidRPr="00CD1FF6">
        <w:rPr>
          <w:rFonts w:ascii="Georgia" w:hAnsi="Georgia"/>
          <w:b/>
          <w:bCs/>
          <w:sz w:val="24"/>
          <w:szCs w:val="24"/>
          <w:lang w:val="it-IT"/>
        </w:rPr>
        <w:t xml:space="preserve">» </w:t>
      </w:r>
      <w:r w:rsidRPr="00CD1FF6">
        <w:rPr>
          <w:rFonts w:ascii="Georgia" w:hAnsi="Georgia"/>
          <w:sz w:val="24"/>
          <w:szCs w:val="24"/>
        </w:rPr>
        <w:t>(</w:t>
      </w:r>
      <w:r w:rsidRPr="00CD1FF6">
        <w:rPr>
          <w:rFonts w:ascii="Georgia" w:hAnsi="Georgia"/>
          <w:i/>
          <w:iCs/>
          <w:sz w:val="24"/>
          <w:szCs w:val="24"/>
          <w:lang w:val="da-DK"/>
        </w:rPr>
        <w:t>EU-forordning (</w:t>
      </w:r>
      <w:r w:rsidRPr="00CD1FF6">
        <w:rPr>
          <w:rFonts w:ascii="Georgia" w:hAnsi="Georgia"/>
          <w:i/>
          <w:iCs/>
          <w:sz w:val="24"/>
          <w:szCs w:val="24"/>
          <w:lang w:val="da-DK"/>
        </w:rPr>
        <w:t xml:space="preserve">EF) 713/2009, </w:t>
      </w:r>
      <w:r w:rsidRPr="00CD1FF6">
        <w:rPr>
          <w:rFonts w:ascii="Georgia" w:hAnsi="Georgia"/>
          <w:i/>
          <w:iCs/>
          <w:sz w:val="24"/>
          <w:szCs w:val="24"/>
        </w:rPr>
        <w:t>fortalen pkt. 5</w:t>
      </w:r>
      <w:r w:rsidRPr="00CD1FF6">
        <w:rPr>
          <w:rFonts w:ascii="Georgia" w:hAnsi="Georgia"/>
          <w:sz w:val="24"/>
          <w:szCs w:val="24"/>
        </w:rPr>
        <w:t>). EU har bestemt at «Agenturet bør sikre, at de reguleringsopgaver, der varetages af d</w:t>
      </w:r>
      <w:r w:rsidRPr="00CD1FF6">
        <w:rPr>
          <w:rFonts w:ascii="Georgia" w:hAnsi="Georgia"/>
          <w:sz w:val="24"/>
          <w:szCs w:val="24"/>
        </w:rPr>
        <w:t xml:space="preserve">e nationale regulerende myndigheder … koordineres effektivt og om </w:t>
      </w:r>
      <w:r w:rsidRPr="00CD1FF6">
        <w:rPr>
          <w:rFonts w:ascii="Georgia" w:hAnsi="Georgia"/>
          <w:b/>
          <w:bCs/>
          <w:sz w:val="24"/>
          <w:szCs w:val="24"/>
        </w:rPr>
        <w:t>nødvendigt fuldføres på fællesskabsplan</w:t>
      </w:r>
      <w:r w:rsidRPr="00CD1FF6">
        <w:rPr>
          <w:rFonts w:ascii="Georgia" w:hAnsi="Georgia"/>
          <w:sz w:val="24"/>
          <w:szCs w:val="24"/>
          <w:lang w:val="it-IT"/>
        </w:rPr>
        <w:t xml:space="preserve">» </w:t>
      </w:r>
      <w:r w:rsidRPr="00CD1FF6">
        <w:rPr>
          <w:rFonts w:ascii="Georgia" w:hAnsi="Georgia"/>
          <w:sz w:val="24"/>
          <w:szCs w:val="24"/>
        </w:rPr>
        <w:t>(fortalen pkt. 6).</w:t>
      </w:r>
    </w:p>
    <w:p w:rsidR="00CD1FF6" w:rsidRPr="00CD1FF6" w:rsidRDefault="00CD1FF6" w:rsidP="00CD1FF6">
      <w:pPr>
        <w:tabs>
          <w:tab w:val="left" w:pos="6990"/>
        </w:tabs>
        <w:spacing w:after="0" w:line="360" w:lineRule="auto"/>
        <w:ind w:left="720"/>
        <w:rPr>
          <w:rFonts w:ascii="Georgia" w:hAnsi="Georgia"/>
          <w:sz w:val="24"/>
          <w:szCs w:val="24"/>
        </w:rPr>
      </w:pPr>
    </w:p>
    <w:p w:rsidR="00000000" w:rsidRPr="00CD1FF6" w:rsidRDefault="00A90278" w:rsidP="00CD1FF6">
      <w:pPr>
        <w:numPr>
          <w:ilvl w:val="0"/>
          <w:numId w:val="6"/>
        </w:numPr>
        <w:tabs>
          <w:tab w:val="left" w:pos="6990"/>
        </w:tabs>
        <w:spacing w:after="0" w:line="360" w:lineRule="auto"/>
        <w:rPr>
          <w:rFonts w:ascii="Georgia" w:hAnsi="Georgia"/>
          <w:sz w:val="24"/>
          <w:szCs w:val="24"/>
        </w:rPr>
      </w:pPr>
      <w:r w:rsidRPr="00CD1FF6">
        <w:rPr>
          <w:rFonts w:ascii="Georgia" w:hAnsi="Georgia"/>
          <w:sz w:val="24"/>
          <w:szCs w:val="24"/>
          <w:lang w:val="da-DK"/>
        </w:rPr>
        <w:t>Med «fælleskabsplan</w:t>
      </w:r>
      <w:r w:rsidRPr="00CD1FF6">
        <w:rPr>
          <w:rFonts w:ascii="Georgia" w:hAnsi="Georgia"/>
          <w:sz w:val="24"/>
          <w:szCs w:val="24"/>
          <w:lang w:val="it-IT"/>
        </w:rPr>
        <w:t xml:space="preserve">» </w:t>
      </w:r>
      <w:r w:rsidRPr="00CD1FF6">
        <w:rPr>
          <w:rFonts w:ascii="Georgia" w:hAnsi="Georgia"/>
          <w:sz w:val="24"/>
          <w:szCs w:val="24"/>
          <w:lang w:val="da-DK"/>
        </w:rPr>
        <w:t xml:space="preserve">siktes det </w:t>
      </w:r>
      <w:r w:rsidRPr="00CD1FF6">
        <w:rPr>
          <w:rFonts w:ascii="Georgia" w:hAnsi="Georgia"/>
          <w:b/>
          <w:bCs/>
          <w:i/>
          <w:iCs/>
          <w:sz w:val="24"/>
          <w:szCs w:val="24"/>
          <w:lang w:val="da-DK"/>
        </w:rPr>
        <w:t>ikke</w:t>
      </w:r>
      <w:r w:rsidRPr="00CD1FF6">
        <w:rPr>
          <w:rFonts w:ascii="Georgia" w:hAnsi="Georgia"/>
          <w:sz w:val="24"/>
          <w:szCs w:val="24"/>
          <w:lang w:val="da-DK"/>
        </w:rPr>
        <w:t xml:space="preserve"> til at</w:t>
      </w:r>
      <w:r w:rsidRPr="00CD1FF6">
        <w:rPr>
          <w:rFonts w:ascii="Georgia" w:hAnsi="Georgia"/>
          <w:sz w:val="24"/>
          <w:szCs w:val="24"/>
        </w:rPr>
        <w:t xml:space="preserve"> medlemsstatene</w:t>
      </w:r>
      <w:r w:rsidRPr="00CD1FF6">
        <w:rPr>
          <w:rFonts w:ascii="Georgia" w:hAnsi="Georgia"/>
          <w:sz w:val="24"/>
          <w:szCs w:val="24"/>
          <w:lang w:val="da-DK"/>
        </w:rPr>
        <w:t xml:space="preserve"> «arbejde[r] tæt sammen</w:t>
      </w:r>
      <w:r w:rsidRPr="00CD1FF6">
        <w:rPr>
          <w:rFonts w:ascii="Georgia" w:hAnsi="Georgia"/>
          <w:sz w:val="24"/>
          <w:szCs w:val="24"/>
          <w:lang w:val="it-IT"/>
        </w:rPr>
        <w:t xml:space="preserve">» </w:t>
      </w:r>
      <w:r w:rsidRPr="00CD1FF6">
        <w:rPr>
          <w:rFonts w:ascii="Georgia" w:hAnsi="Georgia"/>
          <w:sz w:val="24"/>
          <w:szCs w:val="24"/>
          <w:lang w:val="da-DK"/>
        </w:rPr>
        <w:t xml:space="preserve">(fortalen pkt. 5) i et </w:t>
      </w:r>
      <w:r w:rsidRPr="00CD1FF6">
        <w:rPr>
          <w:rFonts w:ascii="Georgia" w:hAnsi="Georgia"/>
          <w:b/>
          <w:bCs/>
          <w:sz w:val="24"/>
          <w:szCs w:val="24"/>
          <w:lang w:val="da-DK"/>
        </w:rPr>
        <w:t>mellomfolkelig</w:t>
      </w:r>
      <w:r w:rsidRPr="00CD1FF6">
        <w:rPr>
          <w:rFonts w:ascii="Georgia" w:hAnsi="Georgia"/>
          <w:sz w:val="24"/>
          <w:szCs w:val="24"/>
          <w:lang w:val="da-DK"/>
        </w:rPr>
        <w:t xml:space="preserve"> rom,</w:t>
      </w:r>
      <w:r w:rsidRPr="00CD1FF6">
        <w:rPr>
          <w:rFonts w:ascii="Georgia" w:hAnsi="Georgia"/>
          <w:sz w:val="24"/>
          <w:szCs w:val="24"/>
          <w:vertAlign w:val="superscript"/>
          <w:lang w:val="da-DK"/>
        </w:rPr>
        <w:t xml:space="preserve"> </w:t>
      </w:r>
      <w:r w:rsidRPr="00CD1FF6">
        <w:rPr>
          <w:rFonts w:ascii="Georgia" w:hAnsi="Georgia"/>
          <w:sz w:val="24"/>
          <w:szCs w:val="24"/>
          <w:lang w:val="da-DK"/>
        </w:rPr>
        <w:t xml:space="preserve">men til EU-organene </w:t>
      </w:r>
      <w:r w:rsidRPr="00CD1FF6">
        <w:rPr>
          <w:rFonts w:ascii="Georgia" w:hAnsi="Georgia"/>
          <w:b/>
          <w:bCs/>
          <w:sz w:val="24"/>
          <w:szCs w:val="24"/>
          <w:lang w:val="da-DK"/>
        </w:rPr>
        <w:t>internt</w:t>
      </w:r>
      <w:r w:rsidRPr="00CD1FF6">
        <w:rPr>
          <w:rFonts w:ascii="Georgia" w:hAnsi="Georgia"/>
          <w:sz w:val="24"/>
          <w:szCs w:val="24"/>
          <w:lang w:val="da-DK"/>
        </w:rPr>
        <w:t>, dvs. ACER</w:t>
      </w:r>
      <w:r w:rsidRPr="00CD1FF6">
        <w:rPr>
          <w:rFonts w:ascii="Georgia" w:hAnsi="Georgia"/>
          <w:sz w:val="24"/>
          <w:szCs w:val="24"/>
          <w:lang w:val="da-DK"/>
        </w:rPr>
        <w:t xml:space="preserve">, men også </w:t>
      </w:r>
      <w:r w:rsidRPr="00CD1FF6">
        <w:rPr>
          <w:rFonts w:ascii="Georgia" w:hAnsi="Georgia"/>
          <w:sz w:val="24"/>
          <w:szCs w:val="24"/>
          <w:lang w:val="de-DE"/>
        </w:rPr>
        <w:t xml:space="preserve">andre EU-organer, herunder ENTSO-E: </w:t>
      </w:r>
    </w:p>
    <w:p w:rsidR="00000000" w:rsidRPr="00CD1FF6" w:rsidRDefault="00A90278" w:rsidP="00CD1FF6">
      <w:pPr>
        <w:tabs>
          <w:tab w:val="left" w:pos="6990"/>
        </w:tabs>
        <w:spacing w:after="0" w:line="360" w:lineRule="auto"/>
        <w:ind w:left="720"/>
        <w:rPr>
          <w:rFonts w:ascii="Georgia" w:hAnsi="Georgia"/>
          <w:sz w:val="24"/>
          <w:szCs w:val="24"/>
          <w:lang w:val="it-IT"/>
        </w:rPr>
      </w:pPr>
      <w:r w:rsidRPr="00CD1FF6">
        <w:rPr>
          <w:rFonts w:ascii="Georgia" w:hAnsi="Georgia"/>
          <w:i/>
          <w:sz w:val="24"/>
          <w:szCs w:val="24"/>
          <w:lang w:val="da-DK"/>
        </w:rPr>
        <w:t>«</w:t>
      </w:r>
      <w:r w:rsidRPr="00CD1FF6">
        <w:rPr>
          <w:rFonts w:ascii="Georgia" w:hAnsi="Georgia"/>
          <w:b/>
          <w:bCs/>
          <w:i/>
          <w:sz w:val="24"/>
          <w:szCs w:val="24"/>
          <w:lang w:val="da-DK"/>
        </w:rPr>
        <w:t xml:space="preserve">Kommissionen og agenturet </w:t>
      </w:r>
      <w:r w:rsidRPr="00CD1FF6">
        <w:rPr>
          <w:rFonts w:ascii="Georgia" w:hAnsi="Georgia"/>
          <w:i/>
          <w:sz w:val="24"/>
          <w:szCs w:val="24"/>
          <w:lang w:val="da-DK"/>
        </w:rPr>
        <w:t>arbejder tæt sammen i forbindelse med gennemførelsen af denne forordning og i passende omfang hører det europæiske net af transmissionssystemoperatører for e</w:t>
      </w:r>
      <w:r w:rsidRPr="00CD1FF6">
        <w:rPr>
          <w:rFonts w:ascii="Georgia" w:hAnsi="Georgia"/>
          <w:i/>
          <w:sz w:val="24"/>
          <w:szCs w:val="24"/>
          <w:lang w:val="da-DK"/>
        </w:rPr>
        <w:t>lektricitet og for gas</w:t>
      </w:r>
      <w:r w:rsidRPr="00CD1FF6">
        <w:rPr>
          <w:rFonts w:ascii="Georgia" w:hAnsi="Georgia"/>
          <w:i/>
          <w:sz w:val="24"/>
          <w:szCs w:val="24"/>
          <w:lang w:val="it-IT"/>
        </w:rPr>
        <w:t xml:space="preserve">» </w:t>
      </w:r>
      <w:r w:rsidRPr="00CD1FF6">
        <w:rPr>
          <w:rFonts w:ascii="Georgia" w:hAnsi="Georgia"/>
          <w:sz w:val="24"/>
          <w:szCs w:val="24"/>
          <w:lang w:val="it-IT"/>
        </w:rPr>
        <w:t>(</w:t>
      </w:r>
      <w:r w:rsidRPr="00CD1FF6">
        <w:rPr>
          <w:rFonts w:ascii="Georgia" w:hAnsi="Georgia"/>
          <w:sz w:val="24"/>
          <w:szCs w:val="24"/>
          <w:lang w:val="da-DK"/>
        </w:rPr>
        <w:t>fortalen pkt. 20</w:t>
      </w:r>
      <w:r w:rsidRPr="00CD1FF6">
        <w:rPr>
          <w:rFonts w:ascii="Georgia" w:hAnsi="Georgia"/>
          <w:sz w:val="24"/>
          <w:szCs w:val="24"/>
          <w:lang w:val="it-IT"/>
        </w:rPr>
        <w:t>)</w:t>
      </w:r>
      <w:r w:rsidR="004D5DA4" w:rsidRPr="00CD1FF6">
        <w:rPr>
          <w:rFonts w:ascii="Georgia" w:hAnsi="Georgia"/>
          <w:sz w:val="24"/>
          <w:szCs w:val="24"/>
          <w:lang w:val="it-IT"/>
        </w:rPr>
        <w:t>.</w:t>
      </w:r>
    </w:p>
    <w:p w:rsidR="004E47E7" w:rsidRPr="00CD1FF6" w:rsidRDefault="004E47E7" w:rsidP="00CD1FF6">
      <w:pPr>
        <w:pStyle w:val="Default"/>
        <w:spacing w:line="360" w:lineRule="auto"/>
        <w:rPr>
          <w:rFonts w:ascii="Georgia" w:hAnsi="Georgia"/>
        </w:rPr>
      </w:pPr>
    </w:p>
    <w:p w:rsidR="004E47E7" w:rsidRPr="00CD1FF6" w:rsidRDefault="004E47E7" w:rsidP="00CD1FF6">
      <w:pPr>
        <w:pStyle w:val="Default"/>
        <w:numPr>
          <w:ilvl w:val="0"/>
          <w:numId w:val="6"/>
        </w:numPr>
        <w:spacing w:line="360" w:lineRule="auto"/>
        <w:rPr>
          <w:rFonts w:ascii="Georgia" w:hAnsi="Georgia"/>
        </w:rPr>
      </w:pPr>
      <w:r w:rsidRPr="00CD1FF6">
        <w:rPr>
          <w:rFonts w:ascii="Georgia" w:hAnsi="Georgia"/>
        </w:rPr>
        <w:t>Agenturets struktur bør tilpasses de særlige behov, der gør sig gældende for regulering på energiområdet. Der skal navnlig tages fuldt hensyn til de nationale regulerende myndigheders specifikke rolle, og til at deres uafhængighed sikres</w:t>
      </w:r>
      <w:r w:rsidRPr="00CD1FF6">
        <w:rPr>
          <w:rFonts w:ascii="Georgia" w:hAnsi="Georgia"/>
        </w:rPr>
        <w:t xml:space="preserve"> (</w:t>
      </w:r>
      <w:r w:rsidRPr="00CD1FF6">
        <w:rPr>
          <w:rFonts w:ascii="Georgia" w:hAnsi="Georgia"/>
          <w:lang w:val="da-DK"/>
        </w:rPr>
        <w:t>fortalen pkt. 20</w:t>
      </w:r>
      <w:r w:rsidRPr="00CD1FF6">
        <w:rPr>
          <w:rFonts w:ascii="Georgia" w:hAnsi="Georgia"/>
        </w:rPr>
        <w:t>)</w:t>
      </w:r>
      <w:r w:rsidRPr="00CD1FF6">
        <w:rPr>
          <w:rFonts w:ascii="Georgia" w:hAnsi="Georgia"/>
        </w:rPr>
        <w:t xml:space="preserve">. </w:t>
      </w:r>
    </w:p>
    <w:p w:rsidR="00FC0064" w:rsidRPr="00CD1FF6" w:rsidRDefault="00FC0064" w:rsidP="00CD1FF6">
      <w:pPr>
        <w:pStyle w:val="Default"/>
        <w:spacing w:line="360" w:lineRule="auto"/>
        <w:ind w:left="720"/>
        <w:rPr>
          <w:rFonts w:ascii="Georgia" w:hAnsi="Georgia"/>
        </w:rPr>
      </w:pPr>
    </w:p>
    <w:p w:rsidR="004E47E7" w:rsidRPr="00CD1FF6" w:rsidRDefault="004E47E7" w:rsidP="00CD1FF6">
      <w:pPr>
        <w:pStyle w:val="Default"/>
        <w:numPr>
          <w:ilvl w:val="0"/>
          <w:numId w:val="6"/>
        </w:numPr>
        <w:spacing w:line="360" w:lineRule="auto"/>
        <w:rPr>
          <w:rFonts w:ascii="Georgia" w:hAnsi="Georgia"/>
        </w:rPr>
      </w:pPr>
      <w:r w:rsidRPr="00CD1FF6">
        <w:rPr>
          <w:rFonts w:ascii="Georgia" w:hAnsi="Georgia"/>
        </w:rPr>
        <w:t>Agenturet bør sikre, at de reguleringsopgaver, der varetages af de nationale regulerende myndigheder i henhold til Europa-Parlamentets og Rådets direktiv 2009/72/EF af13. juli 2009 om fælles regler for det indre marked for elektricitet</w:t>
      </w:r>
      <w:r w:rsidRPr="00CD1FF6">
        <w:rPr>
          <w:rFonts w:ascii="Georgia" w:hAnsi="Georgia"/>
        </w:rPr>
        <w:t xml:space="preserve"> </w:t>
      </w:r>
      <w:r w:rsidRPr="00CD1FF6">
        <w:rPr>
          <w:rFonts w:ascii="Georgia" w:hAnsi="Georgia"/>
        </w:rPr>
        <w:t>og Europa-Parlamentets og Rådets direkti</w:t>
      </w:r>
      <w:r w:rsidRPr="00CD1FF6">
        <w:rPr>
          <w:rFonts w:ascii="Georgia" w:hAnsi="Georgia"/>
        </w:rPr>
        <w:t>v 2</w:t>
      </w:r>
      <w:r w:rsidRPr="00CD1FF6">
        <w:rPr>
          <w:rFonts w:ascii="Georgia" w:hAnsi="Georgia"/>
        </w:rPr>
        <w:t>009/73/EF af 23. juli 2009 om fælles regler for det indre marked for naturgas - ), koordineres effektivt og om nødvendigt fuldføres på fællesskabsplan. I denne forbindelse er det nødvendigt at garantere agenturets uafhængighed i forhold til elektricitets- og gasproducenter, transmissions- og distributionssystemoperatører, uanset om de er offentlige eller private, og forbrugerne og sikre dets virksomheds overensstemmelse med fællesskabsretten, dets tekniske og reguleringsmæssige kapacitet og dets åbenhed, modtagelighed for demokratisk kontrol og effektivitet</w:t>
      </w:r>
      <w:r w:rsidRPr="00CD1FF6">
        <w:rPr>
          <w:rFonts w:ascii="Georgia" w:hAnsi="Georgia"/>
        </w:rPr>
        <w:t xml:space="preserve"> (fortalen pkt. 6)</w:t>
      </w:r>
      <w:r w:rsidRPr="00CD1FF6">
        <w:rPr>
          <w:rFonts w:ascii="Georgia" w:hAnsi="Georgia"/>
        </w:rPr>
        <w:t>.</w:t>
      </w:r>
    </w:p>
    <w:p w:rsidR="00485DB7" w:rsidRPr="00CD1FF6" w:rsidRDefault="00485DB7" w:rsidP="00CD1FF6">
      <w:pPr>
        <w:pStyle w:val="ListParagraph"/>
        <w:autoSpaceDE w:val="0"/>
        <w:autoSpaceDN w:val="0"/>
        <w:adjustRightInd w:val="0"/>
        <w:spacing w:after="0" w:line="360" w:lineRule="auto"/>
        <w:rPr>
          <w:rFonts w:ascii="Georgia" w:hAnsi="Georgia" w:cs="Calibri"/>
          <w:color w:val="000000"/>
          <w:sz w:val="24"/>
          <w:szCs w:val="24"/>
        </w:rPr>
      </w:pPr>
    </w:p>
    <w:p w:rsidR="00485DB7" w:rsidRPr="00CD1FF6" w:rsidRDefault="00485DB7" w:rsidP="00CD1FF6">
      <w:pPr>
        <w:pStyle w:val="ListParagraph"/>
        <w:numPr>
          <w:ilvl w:val="0"/>
          <w:numId w:val="6"/>
        </w:numPr>
        <w:autoSpaceDE w:val="0"/>
        <w:autoSpaceDN w:val="0"/>
        <w:adjustRightInd w:val="0"/>
        <w:spacing w:after="0" w:line="360" w:lineRule="auto"/>
        <w:rPr>
          <w:rFonts w:ascii="Georgia" w:hAnsi="Georgia" w:cs="Calibri"/>
          <w:color w:val="000000"/>
          <w:sz w:val="24"/>
          <w:szCs w:val="24"/>
          <w:lang w:val="nn-NO"/>
        </w:rPr>
      </w:pPr>
      <w:r w:rsidRPr="00CD1FF6">
        <w:rPr>
          <w:rFonts w:ascii="Georgia" w:hAnsi="Georgia" w:cs="Calibri"/>
          <w:color w:val="000000"/>
          <w:sz w:val="24"/>
          <w:szCs w:val="24"/>
          <w:lang w:val="nn-NO"/>
        </w:rPr>
        <w:t>Forordning (EU) No 347/2013 av 17 April 2013 om retningslinjer for trans-Europeisk energinett som opphever No 1364/2006/EC og endrer Regulations (EC) No 713/2009, (EC) No 714/2009 and (EC) No 715/2009.</w:t>
      </w:r>
    </w:p>
    <w:p w:rsidR="00485DB7" w:rsidRPr="00CD1FF6" w:rsidRDefault="00485DB7" w:rsidP="00CD1FF6">
      <w:pPr>
        <w:pStyle w:val="ListParagraph"/>
        <w:autoSpaceDE w:val="0"/>
        <w:autoSpaceDN w:val="0"/>
        <w:adjustRightInd w:val="0"/>
        <w:spacing w:after="0" w:line="360" w:lineRule="auto"/>
        <w:rPr>
          <w:rFonts w:ascii="Georgia" w:hAnsi="Georgia" w:cs="Arial"/>
          <w:color w:val="000000"/>
          <w:sz w:val="24"/>
          <w:szCs w:val="24"/>
          <w:lang w:val="nn-NO"/>
        </w:rPr>
      </w:pPr>
    </w:p>
    <w:p w:rsidR="00485DB7" w:rsidRPr="00CD1FF6" w:rsidRDefault="00485DB7" w:rsidP="00CD1FF6">
      <w:pPr>
        <w:pStyle w:val="ListParagraph"/>
        <w:autoSpaceDE w:val="0"/>
        <w:autoSpaceDN w:val="0"/>
        <w:adjustRightInd w:val="0"/>
        <w:spacing w:after="0" w:line="360" w:lineRule="auto"/>
        <w:rPr>
          <w:rFonts w:ascii="Georgia" w:hAnsi="Georgia" w:cs="Calibri"/>
          <w:color w:val="000000"/>
          <w:sz w:val="24"/>
          <w:szCs w:val="24"/>
          <w:lang w:val="en-US"/>
        </w:rPr>
      </w:pPr>
      <w:r w:rsidRPr="00CD1FF6">
        <w:rPr>
          <w:rFonts w:ascii="Georgia" w:hAnsi="Georgia" w:cs="Arial"/>
          <w:color w:val="000000"/>
          <w:sz w:val="24"/>
          <w:szCs w:val="24"/>
          <w:lang w:val="en-US"/>
        </w:rPr>
        <w:t>•Chapter III article3.«</w:t>
      </w:r>
      <w:r w:rsidRPr="00CD1FF6">
        <w:rPr>
          <w:rFonts w:ascii="Georgia" w:hAnsi="Georgia" w:cs="Calibri"/>
          <w:color w:val="000000"/>
          <w:sz w:val="24"/>
          <w:szCs w:val="24"/>
          <w:lang w:val="en-US"/>
        </w:rPr>
        <w:t xml:space="preserve">Decision-making powers in the Groups shall be </w:t>
      </w:r>
      <w:r w:rsidRPr="00CD1FF6">
        <w:rPr>
          <w:rFonts w:ascii="Georgia" w:hAnsi="Georgia" w:cs="Calibri"/>
          <w:b/>
          <w:bCs/>
          <w:color w:val="000000"/>
          <w:sz w:val="24"/>
          <w:szCs w:val="24"/>
          <w:lang w:val="en-US"/>
        </w:rPr>
        <w:t>restricted to Member States and the Commission</w:t>
      </w:r>
      <w:r w:rsidRPr="00CD1FF6">
        <w:rPr>
          <w:rFonts w:ascii="Georgia" w:hAnsi="Georgia" w:cs="Calibri"/>
          <w:color w:val="000000"/>
          <w:sz w:val="24"/>
          <w:szCs w:val="24"/>
          <w:lang w:val="en-US"/>
        </w:rPr>
        <w:t>, who shall, for those purposes, be referred to as the decision-making body of the Groups.[Beslutningsdygtigheden indenfor grupperne</w:t>
      </w:r>
      <w:r w:rsidRPr="00CD1FF6">
        <w:rPr>
          <w:rFonts w:ascii="Georgia" w:hAnsi="Georgia" w:cs="Calibri"/>
          <w:b/>
          <w:bCs/>
          <w:color w:val="000000"/>
          <w:sz w:val="24"/>
          <w:szCs w:val="24"/>
          <w:lang w:val="en-US"/>
        </w:rPr>
        <w:t>er begrænsettil medlemsstaterneog Kommissionen</w:t>
      </w:r>
      <w:r w:rsidRPr="00CD1FF6">
        <w:rPr>
          <w:rFonts w:ascii="Georgia" w:hAnsi="Georgia" w:cs="Calibri"/>
          <w:color w:val="000000"/>
          <w:sz w:val="24"/>
          <w:szCs w:val="24"/>
          <w:lang w:val="en-US"/>
        </w:rPr>
        <w:t xml:space="preserve">, der med henblikherpå betegnes som gruppernesbeslutningstagende instans]. </w:t>
      </w:r>
    </w:p>
    <w:p w:rsidR="00485DB7" w:rsidRPr="00CD1FF6" w:rsidRDefault="00485DB7" w:rsidP="00CD1FF6">
      <w:pPr>
        <w:pStyle w:val="Default"/>
        <w:spacing w:line="360" w:lineRule="auto"/>
        <w:ind w:left="720"/>
        <w:rPr>
          <w:rFonts w:ascii="Georgia" w:hAnsi="Georgia"/>
          <w:lang w:val="en-US"/>
        </w:rPr>
      </w:pPr>
    </w:p>
    <w:p w:rsidR="004E47E7" w:rsidRPr="00CD1FF6" w:rsidRDefault="004E47E7" w:rsidP="00CD1FF6">
      <w:pPr>
        <w:pStyle w:val="Default"/>
        <w:spacing w:line="360" w:lineRule="auto"/>
        <w:rPr>
          <w:rFonts w:ascii="Georgia" w:hAnsi="Georgia"/>
          <w:lang w:val="en-US"/>
        </w:rPr>
      </w:pPr>
    </w:p>
    <w:p w:rsidR="00000000" w:rsidRPr="00CD1FF6" w:rsidRDefault="00A90278" w:rsidP="00CD1FF6">
      <w:pPr>
        <w:pStyle w:val="Default"/>
        <w:spacing w:line="360" w:lineRule="auto"/>
        <w:rPr>
          <w:rFonts w:ascii="Georgia" w:hAnsi="Georgia"/>
        </w:rPr>
      </w:pPr>
      <w:r w:rsidRPr="00CD1FF6">
        <w:rPr>
          <w:rFonts w:ascii="Georgia" w:hAnsi="Georgia"/>
        </w:rPr>
        <w:t xml:space="preserve">De norske juss-professorene Eirik Holmøyvik og Hallvard Haukeland Fredriksen trekker den slutning at </w:t>
      </w:r>
    </w:p>
    <w:p w:rsidR="00000000" w:rsidRPr="00CD1FF6" w:rsidRDefault="00A90278" w:rsidP="00CD1FF6">
      <w:pPr>
        <w:pStyle w:val="Default"/>
        <w:spacing w:line="360" w:lineRule="auto"/>
        <w:ind w:left="426"/>
        <w:rPr>
          <w:rFonts w:ascii="Georgia" w:hAnsi="Georgia"/>
        </w:rPr>
      </w:pPr>
      <w:r w:rsidRPr="00CD1FF6">
        <w:rPr>
          <w:rFonts w:ascii="Georgia" w:hAnsi="Georgia"/>
        </w:rPr>
        <w:t>«Med dette overtar ESA regjeringens kontroll av den delen av nor</w:t>
      </w:r>
      <w:r w:rsidRPr="00CD1FF6">
        <w:rPr>
          <w:rFonts w:ascii="Georgia" w:hAnsi="Georgia"/>
        </w:rPr>
        <w:t xml:space="preserve">sk energiforvaltning som tilfaller RME … Og om RME nøler, kan trolig </w:t>
      </w:r>
      <w:r w:rsidRPr="00CD1FF6">
        <w:rPr>
          <w:rFonts w:ascii="Georgia" w:hAnsi="Georgia"/>
          <w:b/>
          <w:bCs/>
        </w:rPr>
        <w:t xml:space="preserve">private aktører fremtvinge </w:t>
      </w:r>
      <w:r w:rsidRPr="00CD1FF6">
        <w:rPr>
          <w:rFonts w:ascii="Georgia" w:hAnsi="Georgia"/>
        </w:rPr>
        <w:t>effektueringen ved å anføre</w:t>
      </w:r>
      <w:r w:rsidRPr="00CD1FF6">
        <w:rPr>
          <w:rFonts w:ascii="Georgia" w:hAnsi="Georgia"/>
        </w:rPr>
        <w:t xml:space="preserve"> for norske domstoler at norsk lov pålegger RME å iverksette ESAs vedtak.»</w:t>
      </w:r>
      <w:r w:rsidR="00AA0344" w:rsidRPr="00CD1FF6">
        <w:rPr>
          <w:rFonts w:ascii="Georgia" w:hAnsi="Georgia"/>
        </w:rPr>
        <w:t xml:space="preserve"> </w:t>
      </w:r>
      <w:hyperlink r:id="rId9" w:history="1">
        <w:r w:rsidRPr="00CD1FF6">
          <w:rPr>
            <w:rStyle w:val="Hyperlink"/>
            <w:rFonts w:ascii="Georgia" w:hAnsi="Georgia"/>
          </w:rPr>
          <w:t>http:</w:t>
        </w:r>
        <w:r w:rsidRPr="00CD1FF6">
          <w:rPr>
            <w:rStyle w:val="Hyperlink"/>
            <w:rFonts w:ascii="Georgia" w:hAnsi="Georgia"/>
          </w:rPr>
          <w:t>//rett24.no/</w:t>
        </w:r>
      </w:hyperlink>
      <w:hyperlink r:id="rId10" w:history="1">
        <w:r w:rsidRPr="00CD1FF6">
          <w:rPr>
            <w:rStyle w:val="Hyperlink"/>
            <w:rFonts w:ascii="Georgia" w:hAnsi="Georgia"/>
          </w:rPr>
          <w:t>articles</w:t>
        </w:r>
      </w:hyperlink>
      <w:hyperlink r:id="rId11" w:history="1">
        <w:r w:rsidRPr="00CD1FF6">
          <w:rPr>
            <w:rStyle w:val="Hyperlink"/>
            <w:rFonts w:ascii="Georgia" w:hAnsi="Georgia"/>
          </w:rPr>
          <w:t>/grunnlovsstridig-tilknytning-til-</w:t>
        </w:r>
      </w:hyperlink>
      <w:hyperlink r:id="rId12" w:history="1">
        <w:r w:rsidRPr="00CD1FF6">
          <w:rPr>
            <w:rStyle w:val="Hyperlink"/>
            <w:rFonts w:ascii="Georgia" w:hAnsi="Georgia"/>
          </w:rPr>
          <w:t>eus</w:t>
        </w:r>
      </w:hyperlink>
      <w:hyperlink r:id="rId13" w:history="1">
        <w:r w:rsidRPr="00CD1FF6">
          <w:rPr>
            <w:rStyle w:val="Hyperlink"/>
            <w:rFonts w:ascii="Georgia" w:hAnsi="Georgia"/>
          </w:rPr>
          <w:t>-</w:t>
        </w:r>
      </w:hyperlink>
      <w:hyperlink r:id="rId14" w:history="1">
        <w:r w:rsidRPr="00CD1FF6">
          <w:rPr>
            <w:rStyle w:val="Hyperlink"/>
            <w:rFonts w:ascii="Georgia" w:hAnsi="Georgia"/>
          </w:rPr>
          <w:t>energibyra</w:t>
        </w:r>
      </w:hyperlink>
      <w:r w:rsidRPr="00CD1FF6">
        <w:rPr>
          <w:rFonts w:ascii="Georgia" w:hAnsi="Georgia"/>
          <w:u w:val="single"/>
        </w:rPr>
        <w:t>.</w:t>
      </w:r>
      <w:r w:rsidRPr="00CD1FF6">
        <w:rPr>
          <w:rFonts w:ascii="Georgia" w:hAnsi="Georgia"/>
        </w:rPr>
        <w:t xml:space="preserve"> </w:t>
      </w:r>
    </w:p>
    <w:p w:rsidR="004E47E7" w:rsidRPr="00CD1FF6" w:rsidRDefault="004E47E7" w:rsidP="00CD1FF6">
      <w:pPr>
        <w:tabs>
          <w:tab w:val="left" w:pos="6990"/>
        </w:tabs>
        <w:spacing w:after="0" w:line="360" w:lineRule="auto"/>
        <w:rPr>
          <w:rFonts w:ascii="Georgia" w:hAnsi="Georgia" w:cs="EUAlbertina"/>
          <w:i/>
          <w:color w:val="000000"/>
          <w:sz w:val="24"/>
          <w:szCs w:val="24"/>
        </w:rPr>
      </w:pPr>
    </w:p>
    <w:p w:rsidR="00670ED7" w:rsidRPr="00CD1FF6" w:rsidRDefault="000F5489" w:rsidP="00CD1FF6">
      <w:pPr>
        <w:tabs>
          <w:tab w:val="left" w:pos="6990"/>
        </w:tabs>
        <w:spacing w:after="0" w:line="360" w:lineRule="auto"/>
        <w:rPr>
          <w:rFonts w:ascii="Georgia" w:hAnsi="Georgia"/>
          <w:sz w:val="24"/>
          <w:szCs w:val="24"/>
        </w:rPr>
      </w:pPr>
      <w:r w:rsidRPr="00CD1FF6">
        <w:rPr>
          <w:rFonts w:ascii="Georgia" w:hAnsi="Georgia" w:cs="EUAlbertina"/>
          <w:i/>
          <w:color w:val="000000"/>
          <w:sz w:val="24"/>
          <w:szCs w:val="24"/>
        </w:rPr>
        <w:t>Situasjonen er da den at all beslutningskompetanse som gjelder grensekryssende energi tilhører ACER og EUs energibyråkrati (med Kommisjonen på toppen).</w:t>
      </w:r>
      <w:r w:rsidR="00CD1FF6">
        <w:rPr>
          <w:rFonts w:ascii="Georgia" w:hAnsi="Georgia" w:cs="EUAlbertina"/>
          <w:i/>
          <w:color w:val="000000"/>
          <w:sz w:val="24"/>
          <w:szCs w:val="24"/>
        </w:rPr>
        <w:t xml:space="preserve"> </w:t>
      </w:r>
      <w:r w:rsidR="00485DB7" w:rsidRPr="00CD1FF6">
        <w:rPr>
          <w:rFonts w:ascii="Georgia" w:hAnsi="Georgia"/>
          <w:sz w:val="24"/>
          <w:szCs w:val="24"/>
        </w:rPr>
        <w:t>Den nye beslutningsmodell ser etter Energipakke III slik ut:</w:t>
      </w:r>
      <w:r w:rsidR="003F4C66" w:rsidRPr="00CD1FF6">
        <w:rPr>
          <w:rFonts w:ascii="Georgia" w:hAnsi="Georgia"/>
          <w:sz w:val="24"/>
          <w:szCs w:val="24"/>
        </w:rPr>
        <w:t xml:space="preserve"> </w:t>
      </w:r>
    </w:p>
    <w:p w:rsidR="00485DB7" w:rsidRPr="00CD1FF6" w:rsidRDefault="00485DB7" w:rsidP="00CD1FF6">
      <w:pPr>
        <w:tabs>
          <w:tab w:val="left" w:pos="6990"/>
        </w:tabs>
        <w:spacing w:after="0" w:line="360" w:lineRule="auto"/>
        <w:rPr>
          <w:rFonts w:ascii="Georgia" w:hAnsi="Georgia"/>
          <w:sz w:val="24"/>
          <w:szCs w:val="24"/>
        </w:rPr>
      </w:pPr>
    </w:p>
    <w:p w:rsidR="00485DB7" w:rsidRPr="00CD1FF6" w:rsidRDefault="00485DB7" w:rsidP="00CD1FF6">
      <w:pPr>
        <w:tabs>
          <w:tab w:val="left" w:pos="6990"/>
        </w:tabs>
        <w:spacing w:after="0" w:line="360" w:lineRule="auto"/>
        <w:rPr>
          <w:rFonts w:ascii="Georgia" w:hAnsi="Georgia"/>
          <w:sz w:val="24"/>
          <w:szCs w:val="24"/>
        </w:rPr>
      </w:pPr>
      <w:r w:rsidRPr="00CD1FF6">
        <w:rPr>
          <w:rFonts w:ascii="Georgia" w:hAnsi="Georgia"/>
          <w:noProof/>
          <w:sz w:val="24"/>
          <w:szCs w:val="24"/>
          <w:lang w:eastAsia="nb-NO"/>
        </w:rPr>
        <w:drawing>
          <wp:inline distT="0" distB="0" distL="0" distR="0">
            <wp:extent cx="5695315" cy="2943473"/>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0943" cy="2956718"/>
                    </a:xfrm>
                    <a:prstGeom prst="rect">
                      <a:avLst/>
                    </a:prstGeom>
                    <a:noFill/>
                    <a:ln>
                      <a:noFill/>
                    </a:ln>
                  </pic:spPr>
                </pic:pic>
              </a:graphicData>
            </a:graphic>
          </wp:inline>
        </w:drawing>
      </w:r>
    </w:p>
    <w:p w:rsidR="00306494" w:rsidRPr="00CD1FF6" w:rsidRDefault="003F4C66" w:rsidP="00CD1FF6">
      <w:pPr>
        <w:tabs>
          <w:tab w:val="left" w:pos="6990"/>
        </w:tabs>
        <w:spacing w:after="0" w:line="360" w:lineRule="auto"/>
        <w:jc w:val="center"/>
        <w:rPr>
          <w:rFonts w:ascii="Georgia" w:hAnsi="Georgia"/>
          <w:b/>
          <w:sz w:val="24"/>
          <w:szCs w:val="24"/>
        </w:rPr>
      </w:pPr>
      <w:r w:rsidRPr="00CD1FF6">
        <w:rPr>
          <w:rFonts w:ascii="Georgia" w:hAnsi="Georgia"/>
          <w:b/>
          <w:sz w:val="24"/>
          <w:szCs w:val="24"/>
        </w:rPr>
        <w:t>Figur 2: Tredje energipakkes innføring av én – 1- pilar beslutningsmodell i strid med grunnloven</w:t>
      </w:r>
    </w:p>
    <w:p w:rsidR="003F4C66" w:rsidRPr="00CD1FF6" w:rsidRDefault="003F4C66" w:rsidP="00CD1FF6">
      <w:pPr>
        <w:spacing w:after="0" w:line="360" w:lineRule="auto"/>
        <w:rPr>
          <w:rFonts w:ascii="Georgia" w:hAnsi="Georgia"/>
          <w:sz w:val="24"/>
          <w:szCs w:val="24"/>
        </w:rPr>
      </w:pPr>
    </w:p>
    <w:p w:rsidR="003F4C66" w:rsidRPr="00CD1FF6" w:rsidRDefault="003F4C66" w:rsidP="00CD1FF6">
      <w:pPr>
        <w:spacing w:after="0" w:line="360" w:lineRule="auto"/>
        <w:rPr>
          <w:rFonts w:ascii="Georgia" w:hAnsi="Georgia"/>
          <w:sz w:val="24"/>
          <w:szCs w:val="24"/>
        </w:rPr>
      </w:pPr>
      <w:r w:rsidRPr="00CD1FF6">
        <w:rPr>
          <w:rFonts w:ascii="Georgia" w:hAnsi="Georgia"/>
          <w:sz w:val="24"/>
          <w:szCs w:val="24"/>
        </w:rPr>
        <w:t xml:space="preserve">Den </w:t>
      </w:r>
      <w:r w:rsidR="00CD1FF6" w:rsidRPr="00CD1FF6">
        <w:rPr>
          <w:rFonts w:ascii="Georgia" w:hAnsi="Georgia"/>
          <w:sz w:val="24"/>
          <w:szCs w:val="24"/>
        </w:rPr>
        <w:t xml:space="preserve">kun </w:t>
      </w:r>
      <w:r w:rsidRPr="00CD1FF6">
        <w:rPr>
          <w:rFonts w:ascii="Georgia" w:hAnsi="Georgia"/>
          <w:sz w:val="24"/>
          <w:szCs w:val="24"/>
        </w:rPr>
        <w:t xml:space="preserve">formelle selvstendighet </w:t>
      </w:r>
      <w:r w:rsidR="00CD1FF6" w:rsidRPr="00CD1FF6">
        <w:rPr>
          <w:rFonts w:ascii="Georgia" w:hAnsi="Georgia"/>
          <w:sz w:val="24"/>
          <w:szCs w:val="24"/>
        </w:rPr>
        <w:t xml:space="preserve">og en reell uselvstendighet </w:t>
      </w:r>
      <w:r w:rsidRPr="00CD1FF6">
        <w:rPr>
          <w:rFonts w:ascii="Georgia" w:hAnsi="Georgia"/>
          <w:sz w:val="24"/>
          <w:szCs w:val="24"/>
        </w:rPr>
        <w:t>som det her legges opp til er i strid med Grunnloven § 1:</w:t>
      </w:r>
    </w:p>
    <w:p w:rsidR="00473E5C" w:rsidRPr="00CD1FF6" w:rsidRDefault="00FC0064" w:rsidP="00CD1FF6">
      <w:pPr>
        <w:pStyle w:val="AAvsnitt2"/>
        <w:spacing w:line="360" w:lineRule="auto"/>
        <w:rPr>
          <w:rStyle w:val="Ingen"/>
          <w:rFonts w:ascii="Georgia" w:hAnsi="Georgia"/>
          <w:sz w:val="24"/>
          <w:szCs w:val="24"/>
        </w:rPr>
      </w:pPr>
      <w:r w:rsidRPr="00CD1FF6">
        <w:rPr>
          <w:rFonts w:ascii="Georgia" w:hAnsi="Georgia"/>
          <w:sz w:val="24"/>
          <w:szCs w:val="24"/>
        </w:rPr>
        <w:t>Professor Johs. Andenæs skriver</w:t>
      </w:r>
      <w:r w:rsidR="00473E5C" w:rsidRPr="00CD1FF6">
        <w:rPr>
          <w:rFonts w:ascii="Georgia" w:hAnsi="Georgia"/>
          <w:sz w:val="24"/>
          <w:szCs w:val="24"/>
        </w:rPr>
        <w:t xml:space="preserve"> (</w:t>
      </w:r>
      <w:r w:rsidR="00473E5C" w:rsidRPr="00CD1FF6">
        <w:rPr>
          <w:rStyle w:val="Ingen"/>
          <w:rFonts w:ascii="Georgia" w:hAnsi="Georgia"/>
          <w:i/>
          <w:sz w:val="24"/>
          <w:szCs w:val="24"/>
          <w:lang w:val="da-DK"/>
        </w:rPr>
        <w:t>Statsforfatningen i Norge</w:t>
      </w:r>
      <w:r w:rsidR="00473E5C" w:rsidRPr="00CD1FF6">
        <w:rPr>
          <w:rStyle w:val="Ingen"/>
          <w:rFonts w:ascii="Georgia" w:hAnsi="Georgia"/>
          <w:sz w:val="24"/>
          <w:szCs w:val="24"/>
          <w:lang w:val="da-DK"/>
        </w:rPr>
        <w:t xml:space="preserve"> (Tano, 1997) s. 265</w:t>
      </w:r>
      <w:r w:rsidR="00473E5C" w:rsidRPr="00CD1FF6">
        <w:rPr>
          <w:rFonts w:ascii="Georgia" w:hAnsi="Georgia"/>
          <w:sz w:val="24"/>
          <w:szCs w:val="24"/>
        </w:rPr>
        <w:t>)</w:t>
      </w:r>
      <w:r w:rsidRPr="00CD1FF6">
        <w:rPr>
          <w:rFonts w:ascii="Georgia" w:hAnsi="Georgia"/>
          <w:sz w:val="24"/>
          <w:szCs w:val="24"/>
        </w:rPr>
        <w:t>; suverenitetsavgivelse er lovlig men det forutsetter at det er skjer i et «</w:t>
      </w:r>
      <w:r w:rsidRPr="00CD1FF6">
        <w:rPr>
          <w:rStyle w:val="Ingen"/>
          <w:rFonts w:ascii="Georgia" w:hAnsi="Georgia"/>
          <w:sz w:val="24"/>
          <w:szCs w:val="24"/>
        </w:rPr>
        <w:t xml:space="preserve">samarbeid mellom </w:t>
      </w:r>
      <w:r w:rsidRPr="00CD1FF6">
        <w:rPr>
          <w:rStyle w:val="Ingen"/>
          <w:rFonts w:ascii="Georgia" w:hAnsi="Georgia"/>
          <w:i/>
          <w:iCs/>
          <w:sz w:val="24"/>
          <w:szCs w:val="24"/>
        </w:rPr>
        <w:t>likestilte</w:t>
      </w:r>
      <w:r w:rsidRPr="00CD1FF6">
        <w:rPr>
          <w:rStyle w:val="Ingen"/>
          <w:rFonts w:ascii="Georgia" w:hAnsi="Georgia"/>
          <w:sz w:val="24"/>
          <w:szCs w:val="24"/>
        </w:rPr>
        <w:t xml:space="preserve"> stater i felles interesse</w:t>
      </w:r>
      <w:r w:rsidRPr="00CD1FF6">
        <w:rPr>
          <w:rStyle w:val="Ingen"/>
          <w:rFonts w:ascii="Georgia" w:hAnsi="Georgia"/>
          <w:sz w:val="24"/>
          <w:szCs w:val="24"/>
          <w:lang w:val="it-IT"/>
        </w:rPr>
        <w:t xml:space="preserve">» og de kontraherende parter må </w:t>
      </w:r>
      <w:r w:rsidRPr="00CD1FF6">
        <w:rPr>
          <w:rStyle w:val="Ingen"/>
          <w:rFonts w:ascii="Georgia" w:hAnsi="Georgia"/>
          <w:sz w:val="24"/>
          <w:szCs w:val="24"/>
        </w:rPr>
        <w:t xml:space="preserve">sammen etablere </w:t>
      </w:r>
      <w:r w:rsidRPr="00CD1FF6">
        <w:rPr>
          <w:rStyle w:val="Ingen"/>
          <w:rFonts w:ascii="Georgia" w:hAnsi="Georgia"/>
          <w:i/>
          <w:iCs/>
          <w:sz w:val="24"/>
          <w:szCs w:val="24"/>
        </w:rPr>
        <w:t xml:space="preserve">et felles </w:t>
      </w:r>
      <w:r w:rsidRPr="00CD1FF6">
        <w:rPr>
          <w:rStyle w:val="Ingen"/>
          <w:rFonts w:ascii="Georgia" w:hAnsi="Georgia"/>
          <w:sz w:val="24"/>
          <w:szCs w:val="24"/>
        </w:rPr>
        <w:t>internasjonalt</w:t>
      </w:r>
      <w:r w:rsidRPr="00CD1FF6">
        <w:rPr>
          <w:rStyle w:val="Ingen"/>
          <w:rFonts w:ascii="Georgia" w:hAnsi="Georgia"/>
          <w:i/>
          <w:iCs/>
          <w:sz w:val="24"/>
          <w:szCs w:val="24"/>
        </w:rPr>
        <w:t xml:space="preserve"> organ</w:t>
      </w:r>
      <w:r w:rsidRPr="00CD1FF6">
        <w:rPr>
          <w:rStyle w:val="Ingen"/>
          <w:rFonts w:ascii="Georgia" w:hAnsi="Georgia"/>
          <w:sz w:val="24"/>
          <w:szCs w:val="24"/>
        </w:rPr>
        <w:t xml:space="preserve"> i </w:t>
      </w:r>
      <w:r w:rsidRPr="00CD1FF6">
        <w:rPr>
          <w:rStyle w:val="Ingen"/>
          <w:rFonts w:ascii="Georgia" w:hAnsi="Georgia"/>
          <w:i/>
          <w:iCs/>
          <w:sz w:val="24"/>
          <w:szCs w:val="24"/>
        </w:rPr>
        <w:t>full</w:t>
      </w:r>
      <w:r w:rsidRPr="00CD1FF6">
        <w:rPr>
          <w:rStyle w:val="Ingen"/>
          <w:rFonts w:ascii="Georgia" w:hAnsi="Georgia"/>
          <w:sz w:val="24"/>
          <w:szCs w:val="24"/>
        </w:rPr>
        <w:t xml:space="preserve"> gjensidighet.</w:t>
      </w:r>
      <w:r w:rsidRPr="00CD1FF6">
        <w:rPr>
          <w:rStyle w:val="Ingen"/>
          <w:rFonts w:ascii="Georgia" w:hAnsi="Georgia"/>
          <w:sz w:val="24"/>
          <w:szCs w:val="24"/>
          <w:vertAlign w:val="superscript"/>
        </w:rPr>
        <w:t xml:space="preserve"> </w:t>
      </w:r>
      <w:r w:rsidRPr="00CD1FF6">
        <w:rPr>
          <w:rStyle w:val="Ingen"/>
          <w:rFonts w:ascii="Georgia" w:hAnsi="Georgia"/>
          <w:sz w:val="24"/>
          <w:szCs w:val="24"/>
        </w:rPr>
        <w:t>Ifø</w:t>
      </w:r>
      <w:r w:rsidRPr="00CD1FF6">
        <w:rPr>
          <w:rStyle w:val="Ingen"/>
          <w:rFonts w:ascii="Georgia" w:hAnsi="Georgia"/>
          <w:sz w:val="24"/>
          <w:szCs w:val="24"/>
          <w:lang w:val="sv-SE"/>
        </w:rPr>
        <w:t>lge Anden</w:t>
      </w:r>
      <w:r w:rsidRPr="00CD1FF6">
        <w:rPr>
          <w:rStyle w:val="Ingen"/>
          <w:rFonts w:ascii="Georgia" w:hAnsi="Georgia"/>
          <w:sz w:val="24"/>
          <w:szCs w:val="24"/>
        </w:rPr>
        <w:t>æs er det grunnlovsstridig myndighetsoverføring «selv om den formelle suverenitet var respektert</w:t>
      </w:r>
      <w:r w:rsidRPr="00CD1FF6">
        <w:rPr>
          <w:rStyle w:val="Ingen"/>
          <w:rFonts w:ascii="Georgia" w:hAnsi="Georgia"/>
          <w:sz w:val="24"/>
          <w:szCs w:val="24"/>
          <w:lang w:val="it-IT"/>
        </w:rPr>
        <w:t xml:space="preserve">». </w:t>
      </w:r>
      <w:r w:rsidR="00473E5C" w:rsidRPr="00CD1FF6">
        <w:rPr>
          <w:rStyle w:val="Ingen"/>
          <w:rFonts w:ascii="Georgia" w:hAnsi="Georgia"/>
          <w:sz w:val="24"/>
          <w:szCs w:val="24"/>
          <w:lang w:val="it-IT"/>
        </w:rPr>
        <w:t xml:space="preserve">Ved medlemskap i ACER </w:t>
      </w:r>
      <w:r w:rsidR="00473E5C" w:rsidRPr="00CD1FF6">
        <w:rPr>
          <w:rStyle w:val="Ingen"/>
          <w:rFonts w:ascii="Georgia" w:hAnsi="Georgia"/>
          <w:sz w:val="24"/>
          <w:szCs w:val="24"/>
          <w:lang w:val="it-IT"/>
        </w:rPr>
        <w:t xml:space="preserve">har ESA og RME blitt </w:t>
      </w:r>
      <w:r w:rsidR="00473E5C" w:rsidRPr="00CD1FF6">
        <w:rPr>
          <w:rStyle w:val="Ingen"/>
          <w:rFonts w:ascii="Georgia" w:hAnsi="Georgia"/>
          <w:i/>
          <w:iCs/>
          <w:sz w:val="24"/>
          <w:szCs w:val="24"/>
          <w:lang w:val="it-IT"/>
        </w:rPr>
        <w:t>et organ for</w:t>
      </w:r>
      <w:r w:rsidR="00473E5C" w:rsidRPr="00CD1FF6">
        <w:rPr>
          <w:rStyle w:val="Ingen"/>
          <w:rFonts w:ascii="Georgia" w:hAnsi="Georgia"/>
          <w:sz w:val="24"/>
          <w:szCs w:val="24"/>
          <w:lang w:val="it-IT"/>
        </w:rPr>
        <w:t xml:space="preserve"> EU og </w:t>
      </w:r>
      <w:r w:rsidR="00473E5C" w:rsidRPr="00CD1FF6">
        <w:rPr>
          <w:rStyle w:val="Ingen"/>
          <w:rFonts w:ascii="Georgia" w:hAnsi="Georgia"/>
          <w:i/>
          <w:iCs/>
          <w:sz w:val="24"/>
          <w:szCs w:val="24"/>
          <w:lang w:val="it-IT"/>
        </w:rPr>
        <w:t>ikke</w:t>
      </w:r>
      <w:r w:rsidR="00473E5C" w:rsidRPr="00CD1FF6">
        <w:rPr>
          <w:rStyle w:val="Ingen"/>
          <w:rFonts w:ascii="Georgia" w:hAnsi="Georgia"/>
          <w:sz w:val="24"/>
          <w:szCs w:val="24"/>
          <w:lang w:val="it-IT"/>
        </w:rPr>
        <w:t xml:space="preserve"> for Norge, som gjennom sin praksis følger en 1-pilar-løsning i strid med Grl. </w:t>
      </w:r>
      <w:r w:rsidR="00473E5C" w:rsidRPr="00CD1FF6">
        <w:rPr>
          <w:rStyle w:val="Ingen"/>
          <w:rFonts w:ascii="Georgia" w:hAnsi="Georgia"/>
          <w:sz w:val="24"/>
          <w:szCs w:val="24"/>
        </w:rPr>
        <w:t>§ 1. Regjeringen har således satt Norge i en situasjon som professor Andenæs omtaler som «lydrikeforhold</w:t>
      </w:r>
      <w:r w:rsidR="00473E5C" w:rsidRPr="00CD1FF6">
        <w:rPr>
          <w:rStyle w:val="Ingen"/>
          <w:rFonts w:ascii="Georgia" w:hAnsi="Georgia"/>
          <w:sz w:val="24"/>
          <w:szCs w:val="24"/>
          <w:lang w:val="it-IT"/>
        </w:rPr>
        <w:t>»</w:t>
      </w:r>
      <w:r w:rsidR="00473E5C" w:rsidRPr="00CD1FF6">
        <w:rPr>
          <w:rStyle w:val="Ingen"/>
          <w:rFonts w:ascii="Georgia" w:hAnsi="Georgia"/>
          <w:sz w:val="24"/>
          <w:szCs w:val="24"/>
          <w:lang w:val="it-IT"/>
        </w:rPr>
        <w:t xml:space="preserve"> (s. 266)</w:t>
      </w:r>
      <w:r w:rsidR="00473E5C" w:rsidRPr="00CD1FF6">
        <w:rPr>
          <w:rStyle w:val="Ingen"/>
          <w:rFonts w:ascii="Georgia" w:hAnsi="Georgia"/>
          <w:sz w:val="24"/>
          <w:szCs w:val="24"/>
          <w:lang w:val="it-IT"/>
        </w:rPr>
        <w:t xml:space="preserve">, </w:t>
      </w:r>
      <w:r w:rsidR="00473E5C" w:rsidRPr="00CD1FF6">
        <w:rPr>
          <w:rStyle w:val="Ingen"/>
          <w:rFonts w:ascii="Georgia" w:hAnsi="Georgia"/>
          <w:sz w:val="24"/>
          <w:szCs w:val="24"/>
        </w:rPr>
        <w:t xml:space="preserve">i strid med Grunnloven. </w:t>
      </w:r>
    </w:p>
    <w:p w:rsidR="00473E5C" w:rsidRPr="00CD1FF6" w:rsidRDefault="00473E5C" w:rsidP="00CD1FF6">
      <w:pPr>
        <w:spacing w:after="0" w:line="360" w:lineRule="auto"/>
        <w:rPr>
          <w:rStyle w:val="Ingen"/>
          <w:rFonts w:ascii="Georgia" w:hAnsi="Georgia"/>
          <w:sz w:val="24"/>
          <w:szCs w:val="24"/>
        </w:rPr>
      </w:pPr>
    </w:p>
    <w:p w:rsidR="003F4C66" w:rsidRPr="00CD1FF6" w:rsidRDefault="00FC0064" w:rsidP="00CD1FF6">
      <w:pPr>
        <w:spacing w:after="0" w:line="360" w:lineRule="auto"/>
        <w:rPr>
          <w:rFonts w:ascii="Georgia" w:hAnsi="Georgia"/>
          <w:iCs/>
          <w:sz w:val="24"/>
          <w:szCs w:val="24"/>
          <w:lang w:val="it-IT"/>
        </w:rPr>
      </w:pPr>
      <w:r w:rsidRPr="00CD1FF6">
        <w:rPr>
          <w:rStyle w:val="Ingen"/>
          <w:rFonts w:ascii="Georgia" w:hAnsi="Georgia"/>
          <w:sz w:val="24"/>
          <w:szCs w:val="24"/>
          <w:lang w:val="it-IT"/>
        </w:rPr>
        <w:t>Tilslutningen til EUs energiunion (herunder ACER) bygger på det system at n</w:t>
      </w:r>
      <w:r w:rsidRPr="00CD1FF6">
        <w:rPr>
          <w:rFonts w:ascii="Georgia" w:hAnsi="Georgia"/>
          <w:sz w:val="24"/>
          <w:szCs w:val="24"/>
          <w:lang w:val="it-IT"/>
        </w:rPr>
        <w:t xml:space="preserve">orske politiske myndigheter ikke kan gripe inn mot RME/ESAs uønskede kopivedtak fordi norsk lov pålegger Det nye norske reguleringsorgan (RME) å iverksette EUs vedtak. RME er finansiert av Stortinget og med ledelse utpekt av Olje- og energidepartementet, </w:t>
      </w:r>
      <w:r w:rsidRPr="00CD1FF6">
        <w:rPr>
          <w:rFonts w:ascii="Georgia" w:hAnsi="Georgia"/>
          <w:b/>
          <w:sz w:val="24"/>
          <w:szCs w:val="24"/>
          <w:lang w:val="it-IT"/>
        </w:rPr>
        <w:t>uten</w:t>
      </w:r>
      <w:r w:rsidRPr="00CD1FF6">
        <w:rPr>
          <w:rFonts w:ascii="Georgia" w:hAnsi="Georgia"/>
          <w:sz w:val="24"/>
          <w:szCs w:val="24"/>
          <w:lang w:val="it-IT"/>
        </w:rPr>
        <w:t xml:space="preserve"> at det er et </w:t>
      </w:r>
      <w:r w:rsidRPr="00CD1FF6">
        <w:rPr>
          <w:rFonts w:ascii="Georgia" w:hAnsi="Georgia"/>
          <w:b/>
          <w:sz w:val="24"/>
          <w:szCs w:val="24"/>
          <w:lang w:val="it-IT"/>
        </w:rPr>
        <w:t>organ for</w:t>
      </w:r>
      <w:r w:rsidRPr="00CD1FF6">
        <w:rPr>
          <w:rFonts w:ascii="Georgia" w:hAnsi="Georgia"/>
          <w:sz w:val="24"/>
          <w:szCs w:val="24"/>
          <w:lang w:val="it-IT"/>
        </w:rPr>
        <w:t xml:space="preserve"> den norske stat, men et </w:t>
      </w:r>
      <w:r w:rsidRPr="00CD1FF6">
        <w:rPr>
          <w:rFonts w:ascii="Georgia" w:hAnsi="Georgia"/>
          <w:b/>
          <w:sz w:val="24"/>
          <w:szCs w:val="24"/>
          <w:lang w:val="it-IT"/>
        </w:rPr>
        <w:t>organ for EU</w:t>
      </w:r>
      <w:r w:rsidRPr="00CD1FF6">
        <w:rPr>
          <w:rFonts w:ascii="Georgia" w:hAnsi="Georgia"/>
          <w:sz w:val="24"/>
          <w:szCs w:val="24"/>
          <w:lang w:val="it-IT"/>
        </w:rPr>
        <w:t xml:space="preserve">. </w:t>
      </w:r>
      <w:r w:rsidRPr="00CD1FF6">
        <w:rPr>
          <w:rFonts w:ascii="Georgia" w:hAnsi="Georgia"/>
          <w:sz w:val="24"/>
          <w:szCs w:val="24"/>
        </w:rPr>
        <w:t xml:space="preserve">Denne uavhengighet av norske statlige eller private interesser er nedfelt i 2009/207-direktivet: «RME skal </w:t>
      </w:r>
      <w:r w:rsidRPr="00CD1FF6">
        <w:rPr>
          <w:rFonts w:ascii="Georgia" w:hAnsi="Georgia"/>
          <w:iCs/>
          <w:sz w:val="24"/>
          <w:szCs w:val="24"/>
        </w:rPr>
        <w:t xml:space="preserve">være </w:t>
      </w:r>
      <w:r w:rsidRPr="00CD1FF6">
        <w:rPr>
          <w:rFonts w:ascii="Georgia" w:hAnsi="Georgia"/>
          <w:b/>
          <w:iCs/>
          <w:sz w:val="24"/>
          <w:szCs w:val="24"/>
        </w:rPr>
        <w:t>fuldt uafhængig af</w:t>
      </w:r>
      <w:r w:rsidRPr="00CD1FF6">
        <w:rPr>
          <w:rFonts w:ascii="Georgia" w:hAnsi="Georgia"/>
          <w:iCs/>
          <w:sz w:val="24"/>
          <w:szCs w:val="24"/>
        </w:rPr>
        <w:t xml:space="preserve"> alle andre offentlige og private interesser</w:t>
      </w:r>
      <w:r w:rsidRPr="00CD1FF6">
        <w:rPr>
          <w:rFonts w:ascii="Georgia" w:hAnsi="Georgia"/>
          <w:iCs/>
          <w:sz w:val="24"/>
          <w:szCs w:val="24"/>
          <w:lang w:val="it-IT"/>
        </w:rPr>
        <w:t>». Dette system av kopivedtak er – i tråd med professor Andenæs’ syn i strid med grunnloven § 1</w:t>
      </w:r>
      <w:r w:rsidRPr="00CD1FF6">
        <w:rPr>
          <w:rFonts w:ascii="Georgia" w:hAnsi="Georgia"/>
          <w:iCs/>
          <w:sz w:val="24"/>
          <w:szCs w:val="24"/>
          <w:lang w:val="it-IT"/>
        </w:rPr>
        <w:t xml:space="preserve"> (uth.her)</w:t>
      </w:r>
    </w:p>
    <w:p w:rsidR="00CD1FF6" w:rsidRPr="00CD1FF6" w:rsidRDefault="00CD1FF6" w:rsidP="00CD1FF6">
      <w:pPr>
        <w:spacing w:after="0" w:line="360" w:lineRule="auto"/>
        <w:rPr>
          <w:rFonts w:ascii="Georgia" w:hAnsi="Georgia"/>
          <w:sz w:val="24"/>
          <w:szCs w:val="24"/>
        </w:rPr>
      </w:pPr>
    </w:p>
    <w:p w:rsidR="00070B02" w:rsidRPr="00CD1FF6" w:rsidRDefault="000F5489" w:rsidP="00CD1FF6">
      <w:pPr>
        <w:spacing w:after="0" w:line="360" w:lineRule="auto"/>
        <w:rPr>
          <w:rFonts w:ascii="Georgia" w:hAnsi="Georgia"/>
          <w:sz w:val="24"/>
          <w:szCs w:val="24"/>
        </w:rPr>
      </w:pPr>
      <w:r w:rsidRPr="00CD1FF6">
        <w:rPr>
          <w:rFonts w:ascii="Georgia" w:hAnsi="Georgia"/>
          <w:sz w:val="24"/>
          <w:szCs w:val="24"/>
        </w:rPr>
        <w:t>Peter Th Ørebech</w:t>
      </w:r>
    </w:p>
    <w:p w:rsidR="000F5489" w:rsidRPr="00CD1FF6" w:rsidRDefault="000F5489" w:rsidP="00CD1FF6">
      <w:pPr>
        <w:spacing w:after="0" w:line="360" w:lineRule="auto"/>
        <w:rPr>
          <w:rFonts w:ascii="Georgia" w:hAnsi="Georgia"/>
          <w:sz w:val="24"/>
          <w:szCs w:val="24"/>
        </w:rPr>
      </w:pPr>
      <w:r w:rsidRPr="00CD1FF6">
        <w:rPr>
          <w:rFonts w:ascii="Georgia" w:hAnsi="Georgia"/>
          <w:sz w:val="24"/>
          <w:szCs w:val="24"/>
        </w:rPr>
        <w:t>Professor i rettsvitenskap</w:t>
      </w:r>
    </w:p>
    <w:p w:rsidR="000F5489" w:rsidRPr="00CD1FF6" w:rsidRDefault="000F5489" w:rsidP="00CD1FF6">
      <w:pPr>
        <w:spacing w:after="0" w:line="360" w:lineRule="auto"/>
        <w:rPr>
          <w:rFonts w:ascii="Georgia" w:hAnsi="Georgia"/>
          <w:sz w:val="24"/>
          <w:szCs w:val="24"/>
        </w:rPr>
      </w:pPr>
      <w:r w:rsidRPr="00CD1FF6">
        <w:rPr>
          <w:rFonts w:ascii="Georgia" w:hAnsi="Georgia"/>
          <w:sz w:val="24"/>
          <w:szCs w:val="24"/>
        </w:rPr>
        <w:t>Reykjavik 20-23 oktober 2018</w:t>
      </w:r>
    </w:p>
    <w:sectPr w:rsidR="000F5489" w:rsidRPr="00CD1FF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A3" w:rsidRDefault="001F5FA3" w:rsidP="001F5FA3">
      <w:pPr>
        <w:spacing w:after="0" w:line="240" w:lineRule="auto"/>
      </w:pPr>
      <w:r>
        <w:separator/>
      </w:r>
    </w:p>
  </w:endnote>
  <w:endnote w:type="continuationSeparator" w:id="0">
    <w:p w:rsidR="001F5FA3" w:rsidRDefault="001F5FA3" w:rsidP="001F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67387"/>
      <w:docPartObj>
        <w:docPartGallery w:val="Page Numbers (Bottom of Page)"/>
        <w:docPartUnique/>
      </w:docPartObj>
    </w:sdtPr>
    <w:sdtContent>
      <w:p w:rsidR="00306494" w:rsidRDefault="00306494">
        <w:pPr>
          <w:pStyle w:val="Footer"/>
          <w:jc w:val="right"/>
        </w:pPr>
        <w:r>
          <w:fldChar w:fldCharType="begin"/>
        </w:r>
        <w:r>
          <w:instrText>PAGE   \* MERGEFORMAT</w:instrText>
        </w:r>
        <w:r>
          <w:fldChar w:fldCharType="separate"/>
        </w:r>
        <w:r w:rsidR="00A90278">
          <w:rPr>
            <w:noProof/>
          </w:rPr>
          <w:t>8</w:t>
        </w:r>
        <w:r>
          <w:fldChar w:fldCharType="end"/>
        </w:r>
      </w:p>
    </w:sdtContent>
  </w:sdt>
  <w:p w:rsidR="00306494" w:rsidRDefault="00306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A3" w:rsidRDefault="001F5FA3" w:rsidP="001F5FA3">
      <w:pPr>
        <w:spacing w:after="0" w:line="240" w:lineRule="auto"/>
      </w:pPr>
      <w:r>
        <w:separator/>
      </w:r>
    </w:p>
  </w:footnote>
  <w:footnote w:type="continuationSeparator" w:id="0">
    <w:p w:rsidR="001F5FA3" w:rsidRDefault="001F5FA3" w:rsidP="001F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2D0"/>
    <w:multiLevelType w:val="hybridMultilevel"/>
    <w:tmpl w:val="8DA47010"/>
    <w:lvl w:ilvl="0" w:tplc="F5E4DDC0">
      <w:start w:val="3"/>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186B6F4E"/>
    <w:multiLevelType w:val="hybridMultilevel"/>
    <w:tmpl w:val="A9220544"/>
    <w:lvl w:ilvl="0" w:tplc="E56885C8">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0274116"/>
    <w:multiLevelType w:val="hybridMultilevel"/>
    <w:tmpl w:val="72F0DFF2"/>
    <w:lvl w:ilvl="0" w:tplc="CCD47218">
      <w:start w:val="1"/>
      <w:numFmt w:val="bullet"/>
      <w:lvlText w:val="•"/>
      <w:lvlJc w:val="left"/>
      <w:pPr>
        <w:tabs>
          <w:tab w:val="num" w:pos="720"/>
        </w:tabs>
        <w:ind w:left="720" w:hanging="360"/>
      </w:pPr>
      <w:rPr>
        <w:rFonts w:ascii="Arial" w:hAnsi="Arial" w:hint="default"/>
      </w:rPr>
    </w:lvl>
    <w:lvl w:ilvl="1" w:tplc="893EAC48" w:tentative="1">
      <w:start w:val="1"/>
      <w:numFmt w:val="bullet"/>
      <w:lvlText w:val="•"/>
      <w:lvlJc w:val="left"/>
      <w:pPr>
        <w:tabs>
          <w:tab w:val="num" w:pos="1440"/>
        </w:tabs>
        <w:ind w:left="1440" w:hanging="360"/>
      </w:pPr>
      <w:rPr>
        <w:rFonts w:ascii="Arial" w:hAnsi="Arial" w:hint="default"/>
      </w:rPr>
    </w:lvl>
    <w:lvl w:ilvl="2" w:tplc="DEA86E76" w:tentative="1">
      <w:start w:val="1"/>
      <w:numFmt w:val="bullet"/>
      <w:lvlText w:val="•"/>
      <w:lvlJc w:val="left"/>
      <w:pPr>
        <w:tabs>
          <w:tab w:val="num" w:pos="2160"/>
        </w:tabs>
        <w:ind w:left="2160" w:hanging="360"/>
      </w:pPr>
      <w:rPr>
        <w:rFonts w:ascii="Arial" w:hAnsi="Arial" w:hint="default"/>
      </w:rPr>
    </w:lvl>
    <w:lvl w:ilvl="3" w:tplc="04F6C1B6" w:tentative="1">
      <w:start w:val="1"/>
      <w:numFmt w:val="bullet"/>
      <w:lvlText w:val="•"/>
      <w:lvlJc w:val="left"/>
      <w:pPr>
        <w:tabs>
          <w:tab w:val="num" w:pos="2880"/>
        </w:tabs>
        <w:ind w:left="2880" w:hanging="360"/>
      </w:pPr>
      <w:rPr>
        <w:rFonts w:ascii="Arial" w:hAnsi="Arial" w:hint="default"/>
      </w:rPr>
    </w:lvl>
    <w:lvl w:ilvl="4" w:tplc="D8B8A1EE" w:tentative="1">
      <w:start w:val="1"/>
      <w:numFmt w:val="bullet"/>
      <w:lvlText w:val="•"/>
      <w:lvlJc w:val="left"/>
      <w:pPr>
        <w:tabs>
          <w:tab w:val="num" w:pos="3600"/>
        </w:tabs>
        <w:ind w:left="3600" w:hanging="360"/>
      </w:pPr>
      <w:rPr>
        <w:rFonts w:ascii="Arial" w:hAnsi="Arial" w:hint="default"/>
      </w:rPr>
    </w:lvl>
    <w:lvl w:ilvl="5" w:tplc="B4547612" w:tentative="1">
      <w:start w:val="1"/>
      <w:numFmt w:val="bullet"/>
      <w:lvlText w:val="•"/>
      <w:lvlJc w:val="left"/>
      <w:pPr>
        <w:tabs>
          <w:tab w:val="num" w:pos="4320"/>
        </w:tabs>
        <w:ind w:left="4320" w:hanging="360"/>
      </w:pPr>
      <w:rPr>
        <w:rFonts w:ascii="Arial" w:hAnsi="Arial" w:hint="default"/>
      </w:rPr>
    </w:lvl>
    <w:lvl w:ilvl="6" w:tplc="31C4AD74" w:tentative="1">
      <w:start w:val="1"/>
      <w:numFmt w:val="bullet"/>
      <w:lvlText w:val="•"/>
      <w:lvlJc w:val="left"/>
      <w:pPr>
        <w:tabs>
          <w:tab w:val="num" w:pos="5040"/>
        </w:tabs>
        <w:ind w:left="5040" w:hanging="360"/>
      </w:pPr>
      <w:rPr>
        <w:rFonts w:ascii="Arial" w:hAnsi="Arial" w:hint="default"/>
      </w:rPr>
    </w:lvl>
    <w:lvl w:ilvl="7" w:tplc="C3AC22F4" w:tentative="1">
      <w:start w:val="1"/>
      <w:numFmt w:val="bullet"/>
      <w:lvlText w:val="•"/>
      <w:lvlJc w:val="left"/>
      <w:pPr>
        <w:tabs>
          <w:tab w:val="num" w:pos="5760"/>
        </w:tabs>
        <w:ind w:left="5760" w:hanging="360"/>
      </w:pPr>
      <w:rPr>
        <w:rFonts w:ascii="Arial" w:hAnsi="Arial" w:hint="default"/>
      </w:rPr>
    </w:lvl>
    <w:lvl w:ilvl="8" w:tplc="4ED6C9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4D4A95"/>
    <w:multiLevelType w:val="hybridMultilevel"/>
    <w:tmpl w:val="B540D0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9A4761"/>
    <w:multiLevelType w:val="hybridMultilevel"/>
    <w:tmpl w:val="2006EBC8"/>
    <w:lvl w:ilvl="0" w:tplc="E48EC382">
      <w:start w:val="1"/>
      <w:numFmt w:val="bullet"/>
      <w:lvlText w:val="•"/>
      <w:lvlJc w:val="left"/>
      <w:pPr>
        <w:tabs>
          <w:tab w:val="num" w:pos="720"/>
        </w:tabs>
        <w:ind w:left="720" w:hanging="360"/>
      </w:pPr>
      <w:rPr>
        <w:rFonts w:ascii="Arial" w:hAnsi="Arial" w:hint="default"/>
      </w:rPr>
    </w:lvl>
    <w:lvl w:ilvl="1" w:tplc="E7D094BA" w:tentative="1">
      <w:start w:val="1"/>
      <w:numFmt w:val="bullet"/>
      <w:lvlText w:val="•"/>
      <w:lvlJc w:val="left"/>
      <w:pPr>
        <w:tabs>
          <w:tab w:val="num" w:pos="1440"/>
        </w:tabs>
        <w:ind w:left="1440" w:hanging="360"/>
      </w:pPr>
      <w:rPr>
        <w:rFonts w:ascii="Arial" w:hAnsi="Arial" w:hint="default"/>
      </w:rPr>
    </w:lvl>
    <w:lvl w:ilvl="2" w:tplc="1CF4FDCA" w:tentative="1">
      <w:start w:val="1"/>
      <w:numFmt w:val="bullet"/>
      <w:lvlText w:val="•"/>
      <w:lvlJc w:val="left"/>
      <w:pPr>
        <w:tabs>
          <w:tab w:val="num" w:pos="2160"/>
        </w:tabs>
        <w:ind w:left="2160" w:hanging="360"/>
      </w:pPr>
      <w:rPr>
        <w:rFonts w:ascii="Arial" w:hAnsi="Arial" w:hint="default"/>
      </w:rPr>
    </w:lvl>
    <w:lvl w:ilvl="3" w:tplc="DEA876FE" w:tentative="1">
      <w:start w:val="1"/>
      <w:numFmt w:val="bullet"/>
      <w:lvlText w:val="•"/>
      <w:lvlJc w:val="left"/>
      <w:pPr>
        <w:tabs>
          <w:tab w:val="num" w:pos="2880"/>
        </w:tabs>
        <w:ind w:left="2880" w:hanging="360"/>
      </w:pPr>
      <w:rPr>
        <w:rFonts w:ascii="Arial" w:hAnsi="Arial" w:hint="default"/>
      </w:rPr>
    </w:lvl>
    <w:lvl w:ilvl="4" w:tplc="8656246C" w:tentative="1">
      <w:start w:val="1"/>
      <w:numFmt w:val="bullet"/>
      <w:lvlText w:val="•"/>
      <w:lvlJc w:val="left"/>
      <w:pPr>
        <w:tabs>
          <w:tab w:val="num" w:pos="3600"/>
        </w:tabs>
        <w:ind w:left="3600" w:hanging="360"/>
      </w:pPr>
      <w:rPr>
        <w:rFonts w:ascii="Arial" w:hAnsi="Arial" w:hint="default"/>
      </w:rPr>
    </w:lvl>
    <w:lvl w:ilvl="5" w:tplc="A0BE22FC" w:tentative="1">
      <w:start w:val="1"/>
      <w:numFmt w:val="bullet"/>
      <w:lvlText w:val="•"/>
      <w:lvlJc w:val="left"/>
      <w:pPr>
        <w:tabs>
          <w:tab w:val="num" w:pos="4320"/>
        </w:tabs>
        <w:ind w:left="4320" w:hanging="360"/>
      </w:pPr>
      <w:rPr>
        <w:rFonts w:ascii="Arial" w:hAnsi="Arial" w:hint="default"/>
      </w:rPr>
    </w:lvl>
    <w:lvl w:ilvl="6" w:tplc="917A7926" w:tentative="1">
      <w:start w:val="1"/>
      <w:numFmt w:val="bullet"/>
      <w:lvlText w:val="•"/>
      <w:lvlJc w:val="left"/>
      <w:pPr>
        <w:tabs>
          <w:tab w:val="num" w:pos="5040"/>
        </w:tabs>
        <w:ind w:left="5040" w:hanging="360"/>
      </w:pPr>
      <w:rPr>
        <w:rFonts w:ascii="Arial" w:hAnsi="Arial" w:hint="default"/>
      </w:rPr>
    </w:lvl>
    <w:lvl w:ilvl="7" w:tplc="30524AB8" w:tentative="1">
      <w:start w:val="1"/>
      <w:numFmt w:val="bullet"/>
      <w:lvlText w:val="•"/>
      <w:lvlJc w:val="left"/>
      <w:pPr>
        <w:tabs>
          <w:tab w:val="num" w:pos="5760"/>
        </w:tabs>
        <w:ind w:left="5760" w:hanging="360"/>
      </w:pPr>
      <w:rPr>
        <w:rFonts w:ascii="Arial" w:hAnsi="Arial" w:hint="default"/>
      </w:rPr>
    </w:lvl>
    <w:lvl w:ilvl="8" w:tplc="DA5211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461B89"/>
    <w:multiLevelType w:val="hybridMultilevel"/>
    <w:tmpl w:val="30FED422"/>
    <w:lvl w:ilvl="0" w:tplc="C4A8087C">
      <w:start w:val="1"/>
      <w:numFmt w:val="bullet"/>
      <w:lvlText w:val="•"/>
      <w:lvlJc w:val="left"/>
      <w:pPr>
        <w:tabs>
          <w:tab w:val="num" w:pos="720"/>
        </w:tabs>
        <w:ind w:left="720" w:hanging="360"/>
      </w:pPr>
      <w:rPr>
        <w:rFonts w:ascii="Arial" w:hAnsi="Arial" w:hint="default"/>
      </w:rPr>
    </w:lvl>
    <w:lvl w:ilvl="1" w:tplc="F3768806" w:tentative="1">
      <w:start w:val="1"/>
      <w:numFmt w:val="bullet"/>
      <w:lvlText w:val="•"/>
      <w:lvlJc w:val="left"/>
      <w:pPr>
        <w:tabs>
          <w:tab w:val="num" w:pos="1440"/>
        </w:tabs>
        <w:ind w:left="1440" w:hanging="360"/>
      </w:pPr>
      <w:rPr>
        <w:rFonts w:ascii="Arial" w:hAnsi="Arial" w:hint="default"/>
      </w:rPr>
    </w:lvl>
    <w:lvl w:ilvl="2" w:tplc="E5FA3EC8" w:tentative="1">
      <w:start w:val="1"/>
      <w:numFmt w:val="bullet"/>
      <w:lvlText w:val="•"/>
      <w:lvlJc w:val="left"/>
      <w:pPr>
        <w:tabs>
          <w:tab w:val="num" w:pos="2160"/>
        </w:tabs>
        <w:ind w:left="2160" w:hanging="360"/>
      </w:pPr>
      <w:rPr>
        <w:rFonts w:ascii="Arial" w:hAnsi="Arial" w:hint="default"/>
      </w:rPr>
    </w:lvl>
    <w:lvl w:ilvl="3" w:tplc="E3BE75FA" w:tentative="1">
      <w:start w:val="1"/>
      <w:numFmt w:val="bullet"/>
      <w:lvlText w:val="•"/>
      <w:lvlJc w:val="left"/>
      <w:pPr>
        <w:tabs>
          <w:tab w:val="num" w:pos="2880"/>
        </w:tabs>
        <w:ind w:left="2880" w:hanging="360"/>
      </w:pPr>
      <w:rPr>
        <w:rFonts w:ascii="Arial" w:hAnsi="Arial" w:hint="default"/>
      </w:rPr>
    </w:lvl>
    <w:lvl w:ilvl="4" w:tplc="887EE3D2" w:tentative="1">
      <w:start w:val="1"/>
      <w:numFmt w:val="bullet"/>
      <w:lvlText w:val="•"/>
      <w:lvlJc w:val="left"/>
      <w:pPr>
        <w:tabs>
          <w:tab w:val="num" w:pos="3600"/>
        </w:tabs>
        <w:ind w:left="3600" w:hanging="360"/>
      </w:pPr>
      <w:rPr>
        <w:rFonts w:ascii="Arial" w:hAnsi="Arial" w:hint="default"/>
      </w:rPr>
    </w:lvl>
    <w:lvl w:ilvl="5" w:tplc="6A7EE886" w:tentative="1">
      <w:start w:val="1"/>
      <w:numFmt w:val="bullet"/>
      <w:lvlText w:val="•"/>
      <w:lvlJc w:val="left"/>
      <w:pPr>
        <w:tabs>
          <w:tab w:val="num" w:pos="4320"/>
        </w:tabs>
        <w:ind w:left="4320" w:hanging="360"/>
      </w:pPr>
      <w:rPr>
        <w:rFonts w:ascii="Arial" w:hAnsi="Arial" w:hint="default"/>
      </w:rPr>
    </w:lvl>
    <w:lvl w:ilvl="6" w:tplc="EC2CEA84" w:tentative="1">
      <w:start w:val="1"/>
      <w:numFmt w:val="bullet"/>
      <w:lvlText w:val="•"/>
      <w:lvlJc w:val="left"/>
      <w:pPr>
        <w:tabs>
          <w:tab w:val="num" w:pos="5040"/>
        </w:tabs>
        <w:ind w:left="5040" w:hanging="360"/>
      </w:pPr>
      <w:rPr>
        <w:rFonts w:ascii="Arial" w:hAnsi="Arial" w:hint="default"/>
      </w:rPr>
    </w:lvl>
    <w:lvl w:ilvl="7" w:tplc="719AAB52" w:tentative="1">
      <w:start w:val="1"/>
      <w:numFmt w:val="bullet"/>
      <w:lvlText w:val="•"/>
      <w:lvlJc w:val="left"/>
      <w:pPr>
        <w:tabs>
          <w:tab w:val="num" w:pos="5760"/>
        </w:tabs>
        <w:ind w:left="5760" w:hanging="360"/>
      </w:pPr>
      <w:rPr>
        <w:rFonts w:ascii="Arial" w:hAnsi="Arial" w:hint="default"/>
      </w:rPr>
    </w:lvl>
    <w:lvl w:ilvl="8" w:tplc="19BEE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C04A9D"/>
    <w:multiLevelType w:val="hybridMultilevel"/>
    <w:tmpl w:val="62A4B4BC"/>
    <w:lvl w:ilvl="0" w:tplc="0A940FAA">
      <w:start w:val="1"/>
      <w:numFmt w:val="decimal"/>
      <w:lvlText w:val="%1."/>
      <w:lvlJc w:val="left"/>
      <w:pPr>
        <w:tabs>
          <w:tab w:val="num" w:pos="720"/>
        </w:tabs>
        <w:ind w:left="720" w:hanging="360"/>
      </w:pPr>
    </w:lvl>
    <w:lvl w:ilvl="1" w:tplc="49B4CEA4" w:tentative="1">
      <w:start w:val="1"/>
      <w:numFmt w:val="decimal"/>
      <w:lvlText w:val="%2."/>
      <w:lvlJc w:val="left"/>
      <w:pPr>
        <w:tabs>
          <w:tab w:val="num" w:pos="1440"/>
        </w:tabs>
        <w:ind w:left="1440" w:hanging="360"/>
      </w:pPr>
    </w:lvl>
    <w:lvl w:ilvl="2" w:tplc="EC74D8E8" w:tentative="1">
      <w:start w:val="1"/>
      <w:numFmt w:val="decimal"/>
      <w:lvlText w:val="%3."/>
      <w:lvlJc w:val="left"/>
      <w:pPr>
        <w:tabs>
          <w:tab w:val="num" w:pos="2160"/>
        </w:tabs>
        <w:ind w:left="2160" w:hanging="360"/>
      </w:pPr>
    </w:lvl>
    <w:lvl w:ilvl="3" w:tplc="F0C41D0A" w:tentative="1">
      <w:start w:val="1"/>
      <w:numFmt w:val="decimal"/>
      <w:lvlText w:val="%4."/>
      <w:lvlJc w:val="left"/>
      <w:pPr>
        <w:tabs>
          <w:tab w:val="num" w:pos="2880"/>
        </w:tabs>
        <w:ind w:left="2880" w:hanging="360"/>
      </w:pPr>
    </w:lvl>
    <w:lvl w:ilvl="4" w:tplc="4F18C08C" w:tentative="1">
      <w:start w:val="1"/>
      <w:numFmt w:val="decimal"/>
      <w:lvlText w:val="%5."/>
      <w:lvlJc w:val="left"/>
      <w:pPr>
        <w:tabs>
          <w:tab w:val="num" w:pos="3600"/>
        </w:tabs>
        <w:ind w:left="3600" w:hanging="360"/>
      </w:pPr>
    </w:lvl>
    <w:lvl w:ilvl="5" w:tplc="3B3000DC" w:tentative="1">
      <w:start w:val="1"/>
      <w:numFmt w:val="decimal"/>
      <w:lvlText w:val="%6."/>
      <w:lvlJc w:val="left"/>
      <w:pPr>
        <w:tabs>
          <w:tab w:val="num" w:pos="4320"/>
        </w:tabs>
        <w:ind w:left="4320" w:hanging="360"/>
      </w:pPr>
    </w:lvl>
    <w:lvl w:ilvl="6" w:tplc="65F85EE2" w:tentative="1">
      <w:start w:val="1"/>
      <w:numFmt w:val="decimal"/>
      <w:lvlText w:val="%7."/>
      <w:lvlJc w:val="left"/>
      <w:pPr>
        <w:tabs>
          <w:tab w:val="num" w:pos="5040"/>
        </w:tabs>
        <w:ind w:left="5040" w:hanging="360"/>
      </w:pPr>
    </w:lvl>
    <w:lvl w:ilvl="7" w:tplc="618A4F4C" w:tentative="1">
      <w:start w:val="1"/>
      <w:numFmt w:val="decimal"/>
      <w:lvlText w:val="%8."/>
      <w:lvlJc w:val="left"/>
      <w:pPr>
        <w:tabs>
          <w:tab w:val="num" w:pos="5760"/>
        </w:tabs>
        <w:ind w:left="5760" w:hanging="360"/>
      </w:pPr>
    </w:lvl>
    <w:lvl w:ilvl="8" w:tplc="8674824E" w:tentative="1">
      <w:start w:val="1"/>
      <w:numFmt w:val="decimal"/>
      <w:lvlText w:val="%9."/>
      <w:lvlJc w:val="left"/>
      <w:pPr>
        <w:tabs>
          <w:tab w:val="num" w:pos="6480"/>
        </w:tabs>
        <w:ind w:left="6480" w:hanging="360"/>
      </w:pPr>
    </w:lvl>
  </w:abstractNum>
  <w:abstractNum w:abstractNumId="7" w15:restartNumberingAfterBreak="0">
    <w:nsid w:val="5D3748B6"/>
    <w:multiLevelType w:val="hybridMultilevel"/>
    <w:tmpl w:val="440C11AC"/>
    <w:lvl w:ilvl="0" w:tplc="373A0D2E">
      <w:start w:val="1"/>
      <w:numFmt w:val="bullet"/>
      <w:lvlText w:val="•"/>
      <w:lvlJc w:val="left"/>
      <w:pPr>
        <w:tabs>
          <w:tab w:val="num" w:pos="720"/>
        </w:tabs>
        <w:ind w:left="720" w:hanging="360"/>
      </w:pPr>
      <w:rPr>
        <w:rFonts w:ascii="Arial" w:hAnsi="Arial" w:hint="default"/>
      </w:rPr>
    </w:lvl>
    <w:lvl w:ilvl="1" w:tplc="1B5AA06C" w:tentative="1">
      <w:start w:val="1"/>
      <w:numFmt w:val="bullet"/>
      <w:lvlText w:val="•"/>
      <w:lvlJc w:val="left"/>
      <w:pPr>
        <w:tabs>
          <w:tab w:val="num" w:pos="1440"/>
        </w:tabs>
        <w:ind w:left="1440" w:hanging="360"/>
      </w:pPr>
      <w:rPr>
        <w:rFonts w:ascii="Arial" w:hAnsi="Arial" w:hint="default"/>
      </w:rPr>
    </w:lvl>
    <w:lvl w:ilvl="2" w:tplc="00D42F86" w:tentative="1">
      <w:start w:val="1"/>
      <w:numFmt w:val="bullet"/>
      <w:lvlText w:val="•"/>
      <w:lvlJc w:val="left"/>
      <w:pPr>
        <w:tabs>
          <w:tab w:val="num" w:pos="2160"/>
        </w:tabs>
        <w:ind w:left="2160" w:hanging="360"/>
      </w:pPr>
      <w:rPr>
        <w:rFonts w:ascii="Arial" w:hAnsi="Arial" w:hint="default"/>
      </w:rPr>
    </w:lvl>
    <w:lvl w:ilvl="3" w:tplc="AA90F880" w:tentative="1">
      <w:start w:val="1"/>
      <w:numFmt w:val="bullet"/>
      <w:lvlText w:val="•"/>
      <w:lvlJc w:val="left"/>
      <w:pPr>
        <w:tabs>
          <w:tab w:val="num" w:pos="2880"/>
        </w:tabs>
        <w:ind w:left="2880" w:hanging="360"/>
      </w:pPr>
      <w:rPr>
        <w:rFonts w:ascii="Arial" w:hAnsi="Arial" w:hint="default"/>
      </w:rPr>
    </w:lvl>
    <w:lvl w:ilvl="4" w:tplc="DDF83658" w:tentative="1">
      <w:start w:val="1"/>
      <w:numFmt w:val="bullet"/>
      <w:lvlText w:val="•"/>
      <w:lvlJc w:val="left"/>
      <w:pPr>
        <w:tabs>
          <w:tab w:val="num" w:pos="3600"/>
        </w:tabs>
        <w:ind w:left="3600" w:hanging="360"/>
      </w:pPr>
      <w:rPr>
        <w:rFonts w:ascii="Arial" w:hAnsi="Arial" w:hint="default"/>
      </w:rPr>
    </w:lvl>
    <w:lvl w:ilvl="5" w:tplc="3C4EC8BC" w:tentative="1">
      <w:start w:val="1"/>
      <w:numFmt w:val="bullet"/>
      <w:lvlText w:val="•"/>
      <w:lvlJc w:val="left"/>
      <w:pPr>
        <w:tabs>
          <w:tab w:val="num" w:pos="4320"/>
        </w:tabs>
        <w:ind w:left="4320" w:hanging="360"/>
      </w:pPr>
      <w:rPr>
        <w:rFonts w:ascii="Arial" w:hAnsi="Arial" w:hint="default"/>
      </w:rPr>
    </w:lvl>
    <w:lvl w:ilvl="6" w:tplc="75908B94" w:tentative="1">
      <w:start w:val="1"/>
      <w:numFmt w:val="bullet"/>
      <w:lvlText w:val="•"/>
      <w:lvlJc w:val="left"/>
      <w:pPr>
        <w:tabs>
          <w:tab w:val="num" w:pos="5040"/>
        </w:tabs>
        <w:ind w:left="5040" w:hanging="360"/>
      </w:pPr>
      <w:rPr>
        <w:rFonts w:ascii="Arial" w:hAnsi="Arial" w:hint="default"/>
      </w:rPr>
    </w:lvl>
    <w:lvl w:ilvl="7" w:tplc="5176970A" w:tentative="1">
      <w:start w:val="1"/>
      <w:numFmt w:val="bullet"/>
      <w:lvlText w:val="•"/>
      <w:lvlJc w:val="left"/>
      <w:pPr>
        <w:tabs>
          <w:tab w:val="num" w:pos="5760"/>
        </w:tabs>
        <w:ind w:left="5760" w:hanging="360"/>
      </w:pPr>
      <w:rPr>
        <w:rFonts w:ascii="Arial" w:hAnsi="Arial" w:hint="default"/>
      </w:rPr>
    </w:lvl>
    <w:lvl w:ilvl="8" w:tplc="F9C6E4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1F0BBB"/>
    <w:multiLevelType w:val="hybridMultilevel"/>
    <w:tmpl w:val="4726E42A"/>
    <w:lvl w:ilvl="0" w:tplc="C3D41D18">
      <w:start w:val="1"/>
      <w:numFmt w:val="bullet"/>
      <w:lvlText w:val="•"/>
      <w:lvlJc w:val="left"/>
      <w:pPr>
        <w:tabs>
          <w:tab w:val="num" w:pos="720"/>
        </w:tabs>
        <w:ind w:left="720" w:hanging="360"/>
      </w:pPr>
      <w:rPr>
        <w:rFonts w:ascii="Arial" w:hAnsi="Arial" w:hint="default"/>
      </w:rPr>
    </w:lvl>
    <w:lvl w:ilvl="1" w:tplc="6944CC7E">
      <w:start w:val="1"/>
      <w:numFmt w:val="bullet"/>
      <w:lvlText w:val="•"/>
      <w:lvlJc w:val="left"/>
      <w:pPr>
        <w:tabs>
          <w:tab w:val="num" w:pos="1440"/>
        </w:tabs>
        <w:ind w:left="1440" w:hanging="360"/>
      </w:pPr>
      <w:rPr>
        <w:rFonts w:ascii="Arial" w:hAnsi="Arial" w:hint="default"/>
      </w:rPr>
    </w:lvl>
    <w:lvl w:ilvl="2" w:tplc="B14E972A" w:tentative="1">
      <w:start w:val="1"/>
      <w:numFmt w:val="bullet"/>
      <w:lvlText w:val="•"/>
      <w:lvlJc w:val="left"/>
      <w:pPr>
        <w:tabs>
          <w:tab w:val="num" w:pos="2160"/>
        </w:tabs>
        <w:ind w:left="2160" w:hanging="360"/>
      </w:pPr>
      <w:rPr>
        <w:rFonts w:ascii="Arial" w:hAnsi="Arial" w:hint="default"/>
      </w:rPr>
    </w:lvl>
    <w:lvl w:ilvl="3" w:tplc="A09AC9BE" w:tentative="1">
      <w:start w:val="1"/>
      <w:numFmt w:val="bullet"/>
      <w:lvlText w:val="•"/>
      <w:lvlJc w:val="left"/>
      <w:pPr>
        <w:tabs>
          <w:tab w:val="num" w:pos="2880"/>
        </w:tabs>
        <w:ind w:left="2880" w:hanging="360"/>
      </w:pPr>
      <w:rPr>
        <w:rFonts w:ascii="Arial" w:hAnsi="Arial" w:hint="default"/>
      </w:rPr>
    </w:lvl>
    <w:lvl w:ilvl="4" w:tplc="0212C0C4" w:tentative="1">
      <w:start w:val="1"/>
      <w:numFmt w:val="bullet"/>
      <w:lvlText w:val="•"/>
      <w:lvlJc w:val="left"/>
      <w:pPr>
        <w:tabs>
          <w:tab w:val="num" w:pos="3600"/>
        </w:tabs>
        <w:ind w:left="3600" w:hanging="360"/>
      </w:pPr>
      <w:rPr>
        <w:rFonts w:ascii="Arial" w:hAnsi="Arial" w:hint="default"/>
      </w:rPr>
    </w:lvl>
    <w:lvl w:ilvl="5" w:tplc="CC94F24C" w:tentative="1">
      <w:start w:val="1"/>
      <w:numFmt w:val="bullet"/>
      <w:lvlText w:val="•"/>
      <w:lvlJc w:val="left"/>
      <w:pPr>
        <w:tabs>
          <w:tab w:val="num" w:pos="4320"/>
        </w:tabs>
        <w:ind w:left="4320" w:hanging="360"/>
      </w:pPr>
      <w:rPr>
        <w:rFonts w:ascii="Arial" w:hAnsi="Arial" w:hint="default"/>
      </w:rPr>
    </w:lvl>
    <w:lvl w:ilvl="6" w:tplc="1862B01C" w:tentative="1">
      <w:start w:val="1"/>
      <w:numFmt w:val="bullet"/>
      <w:lvlText w:val="•"/>
      <w:lvlJc w:val="left"/>
      <w:pPr>
        <w:tabs>
          <w:tab w:val="num" w:pos="5040"/>
        </w:tabs>
        <w:ind w:left="5040" w:hanging="360"/>
      </w:pPr>
      <w:rPr>
        <w:rFonts w:ascii="Arial" w:hAnsi="Arial" w:hint="default"/>
      </w:rPr>
    </w:lvl>
    <w:lvl w:ilvl="7" w:tplc="B8CAB31E" w:tentative="1">
      <w:start w:val="1"/>
      <w:numFmt w:val="bullet"/>
      <w:lvlText w:val="•"/>
      <w:lvlJc w:val="left"/>
      <w:pPr>
        <w:tabs>
          <w:tab w:val="num" w:pos="5760"/>
        </w:tabs>
        <w:ind w:left="5760" w:hanging="360"/>
      </w:pPr>
      <w:rPr>
        <w:rFonts w:ascii="Arial" w:hAnsi="Arial" w:hint="default"/>
      </w:rPr>
    </w:lvl>
    <w:lvl w:ilvl="8" w:tplc="26AA95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723174"/>
    <w:multiLevelType w:val="hybridMultilevel"/>
    <w:tmpl w:val="C1460F6E"/>
    <w:lvl w:ilvl="0" w:tplc="554CD40A">
      <w:start w:val="1"/>
      <w:numFmt w:val="bullet"/>
      <w:lvlText w:val="•"/>
      <w:lvlJc w:val="left"/>
      <w:pPr>
        <w:tabs>
          <w:tab w:val="num" w:pos="720"/>
        </w:tabs>
        <w:ind w:left="720" w:hanging="360"/>
      </w:pPr>
      <w:rPr>
        <w:rFonts w:ascii="Arial" w:hAnsi="Arial" w:hint="default"/>
      </w:rPr>
    </w:lvl>
    <w:lvl w:ilvl="1" w:tplc="0AEC3FE4" w:tentative="1">
      <w:start w:val="1"/>
      <w:numFmt w:val="bullet"/>
      <w:lvlText w:val="•"/>
      <w:lvlJc w:val="left"/>
      <w:pPr>
        <w:tabs>
          <w:tab w:val="num" w:pos="1440"/>
        </w:tabs>
        <w:ind w:left="1440" w:hanging="360"/>
      </w:pPr>
      <w:rPr>
        <w:rFonts w:ascii="Arial" w:hAnsi="Arial" w:hint="default"/>
      </w:rPr>
    </w:lvl>
    <w:lvl w:ilvl="2" w:tplc="5E44C95C" w:tentative="1">
      <w:start w:val="1"/>
      <w:numFmt w:val="bullet"/>
      <w:lvlText w:val="•"/>
      <w:lvlJc w:val="left"/>
      <w:pPr>
        <w:tabs>
          <w:tab w:val="num" w:pos="2160"/>
        </w:tabs>
        <w:ind w:left="2160" w:hanging="360"/>
      </w:pPr>
      <w:rPr>
        <w:rFonts w:ascii="Arial" w:hAnsi="Arial" w:hint="default"/>
      </w:rPr>
    </w:lvl>
    <w:lvl w:ilvl="3" w:tplc="5E4E6E82" w:tentative="1">
      <w:start w:val="1"/>
      <w:numFmt w:val="bullet"/>
      <w:lvlText w:val="•"/>
      <w:lvlJc w:val="left"/>
      <w:pPr>
        <w:tabs>
          <w:tab w:val="num" w:pos="2880"/>
        </w:tabs>
        <w:ind w:left="2880" w:hanging="360"/>
      </w:pPr>
      <w:rPr>
        <w:rFonts w:ascii="Arial" w:hAnsi="Arial" w:hint="default"/>
      </w:rPr>
    </w:lvl>
    <w:lvl w:ilvl="4" w:tplc="08A4E1F8" w:tentative="1">
      <w:start w:val="1"/>
      <w:numFmt w:val="bullet"/>
      <w:lvlText w:val="•"/>
      <w:lvlJc w:val="left"/>
      <w:pPr>
        <w:tabs>
          <w:tab w:val="num" w:pos="3600"/>
        </w:tabs>
        <w:ind w:left="3600" w:hanging="360"/>
      </w:pPr>
      <w:rPr>
        <w:rFonts w:ascii="Arial" w:hAnsi="Arial" w:hint="default"/>
      </w:rPr>
    </w:lvl>
    <w:lvl w:ilvl="5" w:tplc="7F4C286A" w:tentative="1">
      <w:start w:val="1"/>
      <w:numFmt w:val="bullet"/>
      <w:lvlText w:val="•"/>
      <w:lvlJc w:val="left"/>
      <w:pPr>
        <w:tabs>
          <w:tab w:val="num" w:pos="4320"/>
        </w:tabs>
        <w:ind w:left="4320" w:hanging="360"/>
      </w:pPr>
      <w:rPr>
        <w:rFonts w:ascii="Arial" w:hAnsi="Arial" w:hint="default"/>
      </w:rPr>
    </w:lvl>
    <w:lvl w:ilvl="6" w:tplc="BCC44D52" w:tentative="1">
      <w:start w:val="1"/>
      <w:numFmt w:val="bullet"/>
      <w:lvlText w:val="•"/>
      <w:lvlJc w:val="left"/>
      <w:pPr>
        <w:tabs>
          <w:tab w:val="num" w:pos="5040"/>
        </w:tabs>
        <w:ind w:left="5040" w:hanging="360"/>
      </w:pPr>
      <w:rPr>
        <w:rFonts w:ascii="Arial" w:hAnsi="Arial" w:hint="default"/>
      </w:rPr>
    </w:lvl>
    <w:lvl w:ilvl="7" w:tplc="91806D80" w:tentative="1">
      <w:start w:val="1"/>
      <w:numFmt w:val="bullet"/>
      <w:lvlText w:val="•"/>
      <w:lvlJc w:val="left"/>
      <w:pPr>
        <w:tabs>
          <w:tab w:val="num" w:pos="5760"/>
        </w:tabs>
        <w:ind w:left="5760" w:hanging="360"/>
      </w:pPr>
      <w:rPr>
        <w:rFonts w:ascii="Arial" w:hAnsi="Arial" w:hint="default"/>
      </w:rPr>
    </w:lvl>
    <w:lvl w:ilvl="8" w:tplc="4D0637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DE3D2F"/>
    <w:multiLevelType w:val="hybridMultilevel"/>
    <w:tmpl w:val="C9F42E60"/>
    <w:lvl w:ilvl="0" w:tplc="82DA5ECE">
      <w:start w:val="1"/>
      <w:numFmt w:val="bullet"/>
      <w:lvlText w:val="•"/>
      <w:lvlJc w:val="left"/>
      <w:pPr>
        <w:tabs>
          <w:tab w:val="num" w:pos="720"/>
        </w:tabs>
        <w:ind w:left="720" w:hanging="360"/>
      </w:pPr>
      <w:rPr>
        <w:rFonts w:ascii="Arial" w:hAnsi="Arial" w:hint="default"/>
      </w:rPr>
    </w:lvl>
    <w:lvl w:ilvl="1" w:tplc="7358719A" w:tentative="1">
      <w:start w:val="1"/>
      <w:numFmt w:val="bullet"/>
      <w:lvlText w:val="•"/>
      <w:lvlJc w:val="left"/>
      <w:pPr>
        <w:tabs>
          <w:tab w:val="num" w:pos="1440"/>
        </w:tabs>
        <w:ind w:left="1440" w:hanging="360"/>
      </w:pPr>
      <w:rPr>
        <w:rFonts w:ascii="Arial" w:hAnsi="Arial" w:hint="default"/>
      </w:rPr>
    </w:lvl>
    <w:lvl w:ilvl="2" w:tplc="C14AD6AE" w:tentative="1">
      <w:start w:val="1"/>
      <w:numFmt w:val="bullet"/>
      <w:lvlText w:val="•"/>
      <w:lvlJc w:val="left"/>
      <w:pPr>
        <w:tabs>
          <w:tab w:val="num" w:pos="2160"/>
        </w:tabs>
        <w:ind w:left="2160" w:hanging="360"/>
      </w:pPr>
      <w:rPr>
        <w:rFonts w:ascii="Arial" w:hAnsi="Arial" w:hint="default"/>
      </w:rPr>
    </w:lvl>
    <w:lvl w:ilvl="3" w:tplc="5C42EA1E" w:tentative="1">
      <w:start w:val="1"/>
      <w:numFmt w:val="bullet"/>
      <w:lvlText w:val="•"/>
      <w:lvlJc w:val="left"/>
      <w:pPr>
        <w:tabs>
          <w:tab w:val="num" w:pos="2880"/>
        </w:tabs>
        <w:ind w:left="2880" w:hanging="360"/>
      </w:pPr>
      <w:rPr>
        <w:rFonts w:ascii="Arial" w:hAnsi="Arial" w:hint="default"/>
      </w:rPr>
    </w:lvl>
    <w:lvl w:ilvl="4" w:tplc="0C9624F4" w:tentative="1">
      <w:start w:val="1"/>
      <w:numFmt w:val="bullet"/>
      <w:lvlText w:val="•"/>
      <w:lvlJc w:val="left"/>
      <w:pPr>
        <w:tabs>
          <w:tab w:val="num" w:pos="3600"/>
        </w:tabs>
        <w:ind w:left="3600" w:hanging="360"/>
      </w:pPr>
      <w:rPr>
        <w:rFonts w:ascii="Arial" w:hAnsi="Arial" w:hint="default"/>
      </w:rPr>
    </w:lvl>
    <w:lvl w:ilvl="5" w:tplc="FA52D810" w:tentative="1">
      <w:start w:val="1"/>
      <w:numFmt w:val="bullet"/>
      <w:lvlText w:val="•"/>
      <w:lvlJc w:val="left"/>
      <w:pPr>
        <w:tabs>
          <w:tab w:val="num" w:pos="4320"/>
        </w:tabs>
        <w:ind w:left="4320" w:hanging="360"/>
      </w:pPr>
      <w:rPr>
        <w:rFonts w:ascii="Arial" w:hAnsi="Arial" w:hint="default"/>
      </w:rPr>
    </w:lvl>
    <w:lvl w:ilvl="6" w:tplc="738ACF2A" w:tentative="1">
      <w:start w:val="1"/>
      <w:numFmt w:val="bullet"/>
      <w:lvlText w:val="•"/>
      <w:lvlJc w:val="left"/>
      <w:pPr>
        <w:tabs>
          <w:tab w:val="num" w:pos="5040"/>
        </w:tabs>
        <w:ind w:left="5040" w:hanging="360"/>
      </w:pPr>
      <w:rPr>
        <w:rFonts w:ascii="Arial" w:hAnsi="Arial" w:hint="default"/>
      </w:rPr>
    </w:lvl>
    <w:lvl w:ilvl="7" w:tplc="1DA0EA80" w:tentative="1">
      <w:start w:val="1"/>
      <w:numFmt w:val="bullet"/>
      <w:lvlText w:val="•"/>
      <w:lvlJc w:val="left"/>
      <w:pPr>
        <w:tabs>
          <w:tab w:val="num" w:pos="5760"/>
        </w:tabs>
        <w:ind w:left="5760" w:hanging="360"/>
      </w:pPr>
      <w:rPr>
        <w:rFonts w:ascii="Arial" w:hAnsi="Arial" w:hint="default"/>
      </w:rPr>
    </w:lvl>
    <w:lvl w:ilvl="8" w:tplc="CBBEE00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8"/>
  </w:num>
  <w:num w:numId="5">
    <w:abstractNumId w:val="2"/>
  </w:num>
  <w:num w:numId="6">
    <w:abstractNumId w:val="6"/>
  </w:num>
  <w:num w:numId="7">
    <w:abstractNumId w:val="10"/>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02"/>
    <w:rsid w:val="00070B02"/>
    <w:rsid w:val="000F5489"/>
    <w:rsid w:val="0011332D"/>
    <w:rsid w:val="001F5FA3"/>
    <w:rsid w:val="002E2608"/>
    <w:rsid w:val="00306494"/>
    <w:rsid w:val="003F0A1F"/>
    <w:rsid w:val="003F4C66"/>
    <w:rsid w:val="00420C17"/>
    <w:rsid w:val="00473E5C"/>
    <w:rsid w:val="00485DB7"/>
    <w:rsid w:val="004D5DA4"/>
    <w:rsid w:val="004E47E7"/>
    <w:rsid w:val="0052404B"/>
    <w:rsid w:val="00670ED7"/>
    <w:rsid w:val="006B5979"/>
    <w:rsid w:val="00980702"/>
    <w:rsid w:val="00A10B41"/>
    <w:rsid w:val="00A90278"/>
    <w:rsid w:val="00AA0344"/>
    <w:rsid w:val="00B216EE"/>
    <w:rsid w:val="00B34027"/>
    <w:rsid w:val="00CD1FF6"/>
    <w:rsid w:val="00F62542"/>
    <w:rsid w:val="00FC00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5E0B98-F155-4569-8013-4BBE2210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08"/>
    <w:pPr>
      <w:ind w:left="720"/>
      <w:contextualSpacing/>
    </w:pPr>
  </w:style>
  <w:style w:type="paragraph" w:styleId="Header">
    <w:name w:val="header"/>
    <w:basedOn w:val="Normal"/>
    <w:link w:val="HeaderChar"/>
    <w:uiPriority w:val="99"/>
    <w:unhideWhenUsed/>
    <w:rsid w:val="003064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6494"/>
  </w:style>
  <w:style w:type="paragraph" w:styleId="Footer">
    <w:name w:val="footer"/>
    <w:basedOn w:val="Normal"/>
    <w:link w:val="FooterChar"/>
    <w:uiPriority w:val="99"/>
    <w:unhideWhenUsed/>
    <w:rsid w:val="003064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6494"/>
  </w:style>
  <w:style w:type="paragraph" w:customStyle="1" w:styleId="Default">
    <w:name w:val="Default"/>
    <w:rsid w:val="004E47E7"/>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AA0344"/>
    <w:rPr>
      <w:color w:val="0563C1" w:themeColor="hyperlink"/>
      <w:u w:val="single"/>
    </w:rPr>
  </w:style>
  <w:style w:type="character" w:customStyle="1" w:styleId="Ingen">
    <w:name w:val="Ingen"/>
    <w:rsid w:val="00FC0064"/>
  </w:style>
  <w:style w:type="paragraph" w:customStyle="1" w:styleId="AAvsnitt2">
    <w:name w:val="A_Avsnitt2"/>
    <w:basedOn w:val="Normal"/>
    <w:rsid w:val="00473E5C"/>
    <w:pPr>
      <w:spacing w:after="0" w:line="240" w:lineRule="auto"/>
      <w:ind w:firstLine="227"/>
    </w:pPr>
    <w:rPr>
      <w:rFonts w:ascii="Times New Roman" w:eastAsia="Times New Roman" w:hAnsi="Times New Roman" w:cs="Times New Roman"/>
      <w:szCs w:val="20"/>
      <w:lang w:eastAsia="nb-NO"/>
    </w:rPr>
  </w:style>
  <w:style w:type="paragraph" w:customStyle="1" w:styleId="AReferenser">
    <w:name w:val="A_Referenser"/>
    <w:rsid w:val="00473E5C"/>
    <w:pPr>
      <w:spacing w:after="0" w:line="240" w:lineRule="auto"/>
      <w:ind w:left="709" w:hanging="709"/>
    </w:pPr>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8650">
      <w:bodyDiv w:val="1"/>
      <w:marLeft w:val="0"/>
      <w:marRight w:val="0"/>
      <w:marTop w:val="0"/>
      <w:marBottom w:val="0"/>
      <w:divBdr>
        <w:top w:val="none" w:sz="0" w:space="0" w:color="auto"/>
        <w:left w:val="none" w:sz="0" w:space="0" w:color="auto"/>
        <w:bottom w:val="none" w:sz="0" w:space="0" w:color="auto"/>
        <w:right w:val="none" w:sz="0" w:space="0" w:color="auto"/>
      </w:divBdr>
      <w:divsChild>
        <w:div w:id="631523225">
          <w:marLeft w:val="360"/>
          <w:marRight w:val="0"/>
          <w:marTop w:val="200"/>
          <w:marBottom w:val="0"/>
          <w:divBdr>
            <w:top w:val="none" w:sz="0" w:space="0" w:color="auto"/>
            <w:left w:val="none" w:sz="0" w:space="0" w:color="auto"/>
            <w:bottom w:val="none" w:sz="0" w:space="0" w:color="auto"/>
            <w:right w:val="none" w:sz="0" w:space="0" w:color="auto"/>
          </w:divBdr>
        </w:div>
        <w:div w:id="1124235318">
          <w:marLeft w:val="360"/>
          <w:marRight w:val="0"/>
          <w:marTop w:val="200"/>
          <w:marBottom w:val="0"/>
          <w:divBdr>
            <w:top w:val="none" w:sz="0" w:space="0" w:color="auto"/>
            <w:left w:val="none" w:sz="0" w:space="0" w:color="auto"/>
            <w:bottom w:val="none" w:sz="0" w:space="0" w:color="auto"/>
            <w:right w:val="none" w:sz="0" w:space="0" w:color="auto"/>
          </w:divBdr>
        </w:div>
        <w:div w:id="972252089">
          <w:marLeft w:val="806"/>
          <w:marRight w:val="0"/>
          <w:marTop w:val="200"/>
          <w:marBottom w:val="0"/>
          <w:divBdr>
            <w:top w:val="none" w:sz="0" w:space="0" w:color="auto"/>
            <w:left w:val="none" w:sz="0" w:space="0" w:color="auto"/>
            <w:bottom w:val="none" w:sz="0" w:space="0" w:color="auto"/>
            <w:right w:val="none" w:sz="0" w:space="0" w:color="auto"/>
          </w:divBdr>
        </w:div>
        <w:div w:id="407923827">
          <w:marLeft w:val="806"/>
          <w:marRight w:val="0"/>
          <w:marTop w:val="200"/>
          <w:marBottom w:val="0"/>
          <w:divBdr>
            <w:top w:val="none" w:sz="0" w:space="0" w:color="auto"/>
            <w:left w:val="none" w:sz="0" w:space="0" w:color="auto"/>
            <w:bottom w:val="none" w:sz="0" w:space="0" w:color="auto"/>
            <w:right w:val="none" w:sz="0" w:space="0" w:color="auto"/>
          </w:divBdr>
        </w:div>
      </w:divsChild>
    </w:div>
    <w:div w:id="491914317">
      <w:bodyDiv w:val="1"/>
      <w:marLeft w:val="0"/>
      <w:marRight w:val="0"/>
      <w:marTop w:val="0"/>
      <w:marBottom w:val="0"/>
      <w:divBdr>
        <w:top w:val="none" w:sz="0" w:space="0" w:color="auto"/>
        <w:left w:val="none" w:sz="0" w:space="0" w:color="auto"/>
        <w:bottom w:val="none" w:sz="0" w:space="0" w:color="auto"/>
        <w:right w:val="none" w:sz="0" w:space="0" w:color="auto"/>
      </w:divBdr>
      <w:divsChild>
        <w:div w:id="1962564253">
          <w:marLeft w:val="360"/>
          <w:marRight w:val="0"/>
          <w:marTop w:val="200"/>
          <w:marBottom w:val="0"/>
          <w:divBdr>
            <w:top w:val="none" w:sz="0" w:space="0" w:color="auto"/>
            <w:left w:val="none" w:sz="0" w:space="0" w:color="auto"/>
            <w:bottom w:val="none" w:sz="0" w:space="0" w:color="auto"/>
            <w:right w:val="none" w:sz="0" w:space="0" w:color="auto"/>
          </w:divBdr>
        </w:div>
        <w:div w:id="6372654">
          <w:marLeft w:val="360"/>
          <w:marRight w:val="0"/>
          <w:marTop w:val="200"/>
          <w:marBottom w:val="0"/>
          <w:divBdr>
            <w:top w:val="none" w:sz="0" w:space="0" w:color="auto"/>
            <w:left w:val="none" w:sz="0" w:space="0" w:color="auto"/>
            <w:bottom w:val="none" w:sz="0" w:space="0" w:color="auto"/>
            <w:right w:val="none" w:sz="0" w:space="0" w:color="auto"/>
          </w:divBdr>
        </w:div>
      </w:divsChild>
    </w:div>
    <w:div w:id="745806465">
      <w:bodyDiv w:val="1"/>
      <w:marLeft w:val="0"/>
      <w:marRight w:val="0"/>
      <w:marTop w:val="0"/>
      <w:marBottom w:val="0"/>
      <w:divBdr>
        <w:top w:val="none" w:sz="0" w:space="0" w:color="auto"/>
        <w:left w:val="none" w:sz="0" w:space="0" w:color="auto"/>
        <w:bottom w:val="none" w:sz="0" w:space="0" w:color="auto"/>
        <w:right w:val="none" w:sz="0" w:space="0" w:color="auto"/>
      </w:divBdr>
      <w:divsChild>
        <w:div w:id="1947468167">
          <w:marLeft w:val="360"/>
          <w:marRight w:val="0"/>
          <w:marTop w:val="200"/>
          <w:marBottom w:val="0"/>
          <w:divBdr>
            <w:top w:val="none" w:sz="0" w:space="0" w:color="auto"/>
            <w:left w:val="none" w:sz="0" w:space="0" w:color="auto"/>
            <w:bottom w:val="none" w:sz="0" w:space="0" w:color="auto"/>
            <w:right w:val="none" w:sz="0" w:space="0" w:color="auto"/>
          </w:divBdr>
        </w:div>
        <w:div w:id="1796289284">
          <w:marLeft w:val="360"/>
          <w:marRight w:val="0"/>
          <w:marTop w:val="200"/>
          <w:marBottom w:val="0"/>
          <w:divBdr>
            <w:top w:val="none" w:sz="0" w:space="0" w:color="auto"/>
            <w:left w:val="none" w:sz="0" w:space="0" w:color="auto"/>
            <w:bottom w:val="none" w:sz="0" w:space="0" w:color="auto"/>
            <w:right w:val="none" w:sz="0" w:space="0" w:color="auto"/>
          </w:divBdr>
        </w:div>
        <w:div w:id="1102804825">
          <w:marLeft w:val="360"/>
          <w:marRight w:val="0"/>
          <w:marTop w:val="200"/>
          <w:marBottom w:val="0"/>
          <w:divBdr>
            <w:top w:val="none" w:sz="0" w:space="0" w:color="auto"/>
            <w:left w:val="none" w:sz="0" w:space="0" w:color="auto"/>
            <w:bottom w:val="none" w:sz="0" w:space="0" w:color="auto"/>
            <w:right w:val="none" w:sz="0" w:space="0" w:color="auto"/>
          </w:divBdr>
        </w:div>
      </w:divsChild>
    </w:div>
    <w:div w:id="1180392515">
      <w:bodyDiv w:val="1"/>
      <w:marLeft w:val="0"/>
      <w:marRight w:val="0"/>
      <w:marTop w:val="0"/>
      <w:marBottom w:val="0"/>
      <w:divBdr>
        <w:top w:val="none" w:sz="0" w:space="0" w:color="auto"/>
        <w:left w:val="none" w:sz="0" w:space="0" w:color="auto"/>
        <w:bottom w:val="none" w:sz="0" w:space="0" w:color="auto"/>
        <w:right w:val="none" w:sz="0" w:space="0" w:color="auto"/>
      </w:divBdr>
    </w:div>
    <w:div w:id="1409763366">
      <w:bodyDiv w:val="1"/>
      <w:marLeft w:val="0"/>
      <w:marRight w:val="0"/>
      <w:marTop w:val="0"/>
      <w:marBottom w:val="0"/>
      <w:divBdr>
        <w:top w:val="none" w:sz="0" w:space="0" w:color="auto"/>
        <w:left w:val="none" w:sz="0" w:space="0" w:color="auto"/>
        <w:bottom w:val="none" w:sz="0" w:space="0" w:color="auto"/>
        <w:right w:val="none" w:sz="0" w:space="0" w:color="auto"/>
      </w:divBdr>
      <w:divsChild>
        <w:div w:id="1294016459">
          <w:marLeft w:val="360"/>
          <w:marRight w:val="0"/>
          <w:marTop w:val="200"/>
          <w:marBottom w:val="0"/>
          <w:divBdr>
            <w:top w:val="none" w:sz="0" w:space="0" w:color="auto"/>
            <w:left w:val="none" w:sz="0" w:space="0" w:color="auto"/>
            <w:bottom w:val="none" w:sz="0" w:space="0" w:color="auto"/>
            <w:right w:val="none" w:sz="0" w:space="0" w:color="auto"/>
          </w:divBdr>
        </w:div>
        <w:div w:id="93672430">
          <w:marLeft w:val="360"/>
          <w:marRight w:val="0"/>
          <w:marTop w:val="200"/>
          <w:marBottom w:val="0"/>
          <w:divBdr>
            <w:top w:val="none" w:sz="0" w:space="0" w:color="auto"/>
            <w:left w:val="none" w:sz="0" w:space="0" w:color="auto"/>
            <w:bottom w:val="none" w:sz="0" w:space="0" w:color="auto"/>
            <w:right w:val="none" w:sz="0" w:space="0" w:color="auto"/>
          </w:divBdr>
        </w:div>
        <w:div w:id="2105613990">
          <w:marLeft w:val="360"/>
          <w:marRight w:val="0"/>
          <w:marTop w:val="200"/>
          <w:marBottom w:val="0"/>
          <w:divBdr>
            <w:top w:val="none" w:sz="0" w:space="0" w:color="auto"/>
            <w:left w:val="none" w:sz="0" w:space="0" w:color="auto"/>
            <w:bottom w:val="none" w:sz="0" w:space="0" w:color="auto"/>
            <w:right w:val="none" w:sz="0" w:space="0" w:color="auto"/>
          </w:divBdr>
        </w:div>
      </w:divsChild>
    </w:div>
    <w:div w:id="1415276700">
      <w:bodyDiv w:val="1"/>
      <w:marLeft w:val="0"/>
      <w:marRight w:val="0"/>
      <w:marTop w:val="0"/>
      <w:marBottom w:val="0"/>
      <w:divBdr>
        <w:top w:val="none" w:sz="0" w:space="0" w:color="auto"/>
        <w:left w:val="none" w:sz="0" w:space="0" w:color="auto"/>
        <w:bottom w:val="none" w:sz="0" w:space="0" w:color="auto"/>
        <w:right w:val="none" w:sz="0" w:space="0" w:color="auto"/>
      </w:divBdr>
      <w:divsChild>
        <w:div w:id="338968973">
          <w:marLeft w:val="360"/>
          <w:marRight w:val="0"/>
          <w:marTop w:val="200"/>
          <w:marBottom w:val="0"/>
          <w:divBdr>
            <w:top w:val="none" w:sz="0" w:space="0" w:color="auto"/>
            <w:left w:val="none" w:sz="0" w:space="0" w:color="auto"/>
            <w:bottom w:val="none" w:sz="0" w:space="0" w:color="auto"/>
            <w:right w:val="none" w:sz="0" w:space="0" w:color="auto"/>
          </w:divBdr>
        </w:div>
        <w:div w:id="980579942">
          <w:marLeft w:val="360"/>
          <w:marRight w:val="0"/>
          <w:marTop w:val="200"/>
          <w:marBottom w:val="0"/>
          <w:divBdr>
            <w:top w:val="none" w:sz="0" w:space="0" w:color="auto"/>
            <w:left w:val="none" w:sz="0" w:space="0" w:color="auto"/>
            <w:bottom w:val="none" w:sz="0" w:space="0" w:color="auto"/>
            <w:right w:val="none" w:sz="0" w:space="0" w:color="auto"/>
          </w:divBdr>
        </w:div>
        <w:div w:id="1515413336">
          <w:marLeft w:val="360"/>
          <w:marRight w:val="0"/>
          <w:marTop w:val="200"/>
          <w:marBottom w:val="0"/>
          <w:divBdr>
            <w:top w:val="none" w:sz="0" w:space="0" w:color="auto"/>
            <w:left w:val="none" w:sz="0" w:space="0" w:color="auto"/>
            <w:bottom w:val="none" w:sz="0" w:space="0" w:color="auto"/>
            <w:right w:val="none" w:sz="0" w:space="0" w:color="auto"/>
          </w:divBdr>
        </w:div>
      </w:divsChild>
    </w:div>
    <w:div w:id="2075472046">
      <w:bodyDiv w:val="1"/>
      <w:marLeft w:val="0"/>
      <w:marRight w:val="0"/>
      <w:marTop w:val="0"/>
      <w:marBottom w:val="0"/>
      <w:divBdr>
        <w:top w:val="none" w:sz="0" w:space="0" w:color="auto"/>
        <w:left w:val="none" w:sz="0" w:space="0" w:color="auto"/>
        <w:bottom w:val="none" w:sz="0" w:space="0" w:color="auto"/>
        <w:right w:val="none" w:sz="0" w:space="0" w:color="auto"/>
      </w:divBdr>
      <w:divsChild>
        <w:div w:id="44109397">
          <w:marLeft w:val="360"/>
          <w:marRight w:val="0"/>
          <w:marTop w:val="200"/>
          <w:marBottom w:val="0"/>
          <w:divBdr>
            <w:top w:val="none" w:sz="0" w:space="0" w:color="auto"/>
            <w:left w:val="none" w:sz="0" w:space="0" w:color="auto"/>
            <w:bottom w:val="none" w:sz="0" w:space="0" w:color="auto"/>
            <w:right w:val="none" w:sz="0" w:space="0" w:color="auto"/>
          </w:divBdr>
        </w:div>
        <w:div w:id="299726665">
          <w:marLeft w:val="360"/>
          <w:marRight w:val="0"/>
          <w:marTop w:val="200"/>
          <w:marBottom w:val="0"/>
          <w:divBdr>
            <w:top w:val="none" w:sz="0" w:space="0" w:color="auto"/>
            <w:left w:val="none" w:sz="0" w:space="0" w:color="auto"/>
            <w:bottom w:val="none" w:sz="0" w:space="0" w:color="auto"/>
            <w:right w:val="none" w:sz="0" w:space="0" w:color="auto"/>
          </w:divBdr>
        </w:div>
        <w:div w:id="18254636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rett24.no/articles/grunnlovsstridig-tilknytning-til-eus-energiby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rett24.no/articles/grunnlovsstridig-tilknytning-til-eus-energiby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tt24.no/articles/grunnlovsstridig-tilknytning-til-eus-energibyra"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rett24.no/articles/grunnlovsstridig-tilknytning-til-eus-energibyra" TargetMode="External"/><Relationship Id="rId4" Type="http://schemas.openxmlformats.org/officeDocument/2006/relationships/webSettings" Target="webSettings.xml"/><Relationship Id="rId9" Type="http://schemas.openxmlformats.org/officeDocument/2006/relationships/hyperlink" Target="http://rett24.no/articles/grunnlovsstridig-tilknytning-til-eus-energibyra" TargetMode="External"/><Relationship Id="rId14" Type="http://schemas.openxmlformats.org/officeDocument/2006/relationships/hyperlink" Target="http://rett24.no/articles/grunnlovsstridig-tilknytning-til-eus-energiby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1892</Words>
  <Characters>11109</Characters>
  <Application>Microsoft Office Word</Application>
  <DocSecurity>0</DocSecurity>
  <Lines>182</Lines>
  <Paragraphs>79</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 Ørebech</dc:creator>
  <cp:keywords/>
  <dc:description/>
  <cp:lastModifiedBy>Peter Th Ørebech</cp:lastModifiedBy>
  <cp:revision>2</cp:revision>
  <dcterms:created xsi:type="dcterms:W3CDTF">2018-10-31T18:08:00Z</dcterms:created>
  <dcterms:modified xsi:type="dcterms:W3CDTF">2018-10-31T18:08:00Z</dcterms:modified>
</cp:coreProperties>
</file>